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ADR Registry V1.0</w:t>
      </w:r>
    </w:p>
    <w:p>
      <w:pPr>
        <w:jc w:val="center"/>
      </w:pPr>
      <w:r>
        <w:t>Documento oficial de trabalho • Versão V15.1 • 28/09/2026</w:t>
      </w:r>
    </w:p>
    <w:p/>
    <w:p>
      <w:r>
        <w:t>Formato: Contexto → Decisão → Consequências → Status → Evidência necessária.</w:t>
      </w:r>
    </w:p>
    <w:p>
      <w:pPr>
        <w:pStyle w:val="Heading1"/>
      </w:pPr>
      <w:r>
        <w:t>ADR-01 — SOI como plataforma multi-tenant</w:t>
      </w:r>
    </w:p>
    <w:p>
      <w:r>
        <w:t>Contexto: A SOI deve servir múltiplos nichos sem ser definida por um nicho.</w:t>
      </w:r>
    </w:p>
    <w:p>
      <w:r>
        <w:t>Decisão: Adotar Core → Vertical → Tenant.</w:t>
      </w:r>
    </w:p>
    <w:p>
      <w:r>
        <w:t>Consequências: Reutilização e escala; exige isolamento e governança.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ADR-02 — SOI Pizzas como Learning Lab</w:t>
      </w:r>
    </w:p>
    <w:p>
      <w:r>
        <w:t>Contexto: É necessário validar em chão de fábrica real.</w:t>
      </w:r>
    </w:p>
    <w:p>
      <w:r>
        <w:t>Decisão: Usar primeiro Design Partner como laboratório.</w:t>
      </w:r>
    </w:p>
    <w:p>
      <w:r>
        <w:t>Consequências: Aprendizado real antes da escala.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ADR-03 — Fatia Fina</w:t>
      </w:r>
    </w:p>
    <w:p>
      <w:r>
        <w:t>Contexto: Expansão precoce aumenta risco.</w:t>
      </w:r>
    </w:p>
    <w:p>
      <w:r>
        <w:t>Decisão: Priorizar Cardápio → Pedido → Impressão/KDS → Fechamento.</w:t>
      </w:r>
    </w:p>
    <w:p>
      <w:r>
        <w:t>Consequências: Feedback operacional rápido.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ADR-04 — Proveniência obrigatória</w:t>
      </w:r>
    </w:p>
    <w:p>
      <w:r>
        <w:t>Contexto: Conhecimento sem origem perde auditabilidade.</w:t>
      </w:r>
    </w:p>
    <w:p>
      <w:r>
        <w:t>Decisão: Registrar fonte, data, confiança, validade e contexto.</w:t>
      </w:r>
    </w:p>
    <w:p>
      <w:r>
        <w:t>Consequências: Maior rastreabilidade.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ADR-05 — Governança D1/D2/D3</w:t>
      </w:r>
    </w:p>
    <w:p>
      <w:r>
        <w:t>Contexto: Conhecimento de tenant não pode ser generalizado indiscriminadamente.</w:t>
      </w:r>
    </w:p>
    <w:p>
      <w:r>
        <w:t>Decisão: D1 não generaliza; D2 somente agregado/autorizado; D3 pode generalizar com evidência.</w:t>
      </w:r>
    </w:p>
    <w:p>
      <w:r>
        <w:t>Consequências: Proteção de dados e qualidade.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ADR-06 — Break-glass N5</w:t>
      </w:r>
    </w:p>
    <w:p>
      <w:r>
        <w:t>Contexto: Operação pode exigir acesso excepcional.</w:t>
      </w:r>
    </w:p>
    <w:p>
      <w:r>
        <w:t>Decisão: Permitir acesso excepcional apenas com auditoria.</w:t>
      </w:r>
    </w:p>
    <w:p>
      <w:r>
        <w:t>Consequências: Maior segurança operacional.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ADR-07 — Anti-Corruption Layer</w:t>
      </w:r>
    </w:p>
    <w:p>
      <w:r>
        <w:t>Contexto: Integrações externas mudam e não devem contaminar o domínio.</w:t>
      </w:r>
    </w:p>
    <w:p>
      <w:r>
        <w:t>Decisão: Isolar integrações por camada adaptadora.</w:t>
      </w:r>
    </w:p>
    <w:p>
      <w:r>
        <w:t>Consequências: Menor acoplamento.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ADR-08 — Medição de custo de IA</w:t>
      </w:r>
    </w:p>
    <w:p>
      <w:r>
        <w:t>Contexto: IA pesada pode comprometer unit economics.</w:t>
      </w:r>
    </w:p>
    <w:p>
      <w:r>
        <w:t>Decisão: Meter custo por tenant antes de escalar uso.</w:t>
      </w:r>
    </w:p>
    <w:p>
      <w:r>
        <w:t>Consequências: Controle financeiro.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ADR-09 — Demo separada de produção</w:t>
      </w:r>
    </w:p>
    <w:p>
      <w:r>
        <w:t>Contexto: Dados demonstrativos não podem contaminar produção.</w:t>
      </w:r>
    </w:p>
    <w:p>
      <w:r>
        <w:t>Decisão: Separar ambientes/dados e limpar tenant produtivo.</w:t>
      </w:r>
    </w:p>
    <w:p>
      <w:r>
        <w:t>Consequências: Maior segurança e confiabilidade.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ADR-10 — N5 sem programação</w:t>
      </w:r>
    </w:p>
    <w:p>
      <w:r>
        <w:t>Contexto: N5 precisa parametrizar sem depender de código.</w:t>
      </w:r>
    </w:p>
    <w:p>
      <w:r>
        <w:t>Decisão: Cockpit guiado com exemplos e validações.</w:t>
      </w:r>
    </w:p>
    <w:p>
      <w:r>
        <w:t>Consequências: Redução de dependência técnica.</w:t>
      </w:r>
    </w:p>
    <w:p>
      <w:r>
        <w:t>Status: ACEITA</w:t>
      </w:r>
    </w:p>
    <w:p>
      <w:r>
        <w:t>Evidência/validação pendente: registrar fonte ou teste quando aplicável.</w:t>
      </w:r>
    </w:p>
    <w:p>
      <w:pPr>
        <w:pStyle w:val="Heading1"/>
      </w:pPr>
      <w:r>
        <w:t>ADR-11 — Licenciamento modular</w:t>
      </w:r>
    </w:p>
    <w:p>
      <w:r>
        <w:t>Contexto: Clientes terão necessidades e níveis distintos.</w:t>
      </w:r>
    </w:p>
    <w:p>
      <w:r>
        <w:t>Decisão: Capacidades por licença, com implementação desacoplada.</w:t>
      </w:r>
    </w:p>
    <w:p>
      <w:r>
        <w:t>Consequências: Escala comercial.</w:t>
      </w:r>
    </w:p>
    <w:p>
      <w:r>
        <w:t>Status: EM VALIDAÇÃO</w:t>
      </w:r>
    </w:p>
    <w:p>
      <w:r>
        <w:t>Evidência/validação pendente: registrar fonte ou teste quando aplicável.</w:t>
      </w:r>
    </w:p>
    <w:p>
      <w:pPr>
        <w:pStyle w:val="Heading1"/>
      </w:pPr>
      <w:r>
        <w:t>ADR-12 — Governança Multi-IA</w:t>
      </w:r>
    </w:p>
    <w:p>
      <w:r>
        <w:t>Contexto: Pareceres independentes precisam ser rastreáveis.</w:t>
      </w:r>
    </w:p>
    <w:p>
      <w:r>
        <w:t>Decisão: Registrar cada parecer por IA e só consolidar após confirmação explícita.</w:t>
      </w:r>
    </w:p>
    <w:p>
      <w:r>
        <w:t>Consequências: Evita contaminação e preserva divergências.</w:t>
      </w:r>
    </w:p>
    <w:p>
      <w:r>
        <w:t>Status: ACEITA</w:t>
      </w:r>
    </w:p>
    <w:p>
      <w:r>
        <w:t>Evidência/validação pendente: registrar fonte ou teste quando aplicável.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