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SOI — Sistema Operativo e Intelligenza</w:t>
      </w:r>
    </w:p>
    <w:p>
      <w:pPr>
        <w:pStyle w:val="Title"/>
        <w:jc w:val="center"/>
      </w:pPr>
      <w:r>
        <w:t>SOI — Registro Mestre V1.0</w:t>
      </w:r>
    </w:p>
    <w:p>
      <w:pPr>
        <w:jc w:val="center"/>
      </w:pPr>
      <w:r>
        <w:t>Documento oficial de trabalho • Versão V15.1 • 28/09/2026</w:t>
      </w:r>
    </w:p>
    <w:p/>
    <w:p>
      <w:pPr>
        <w:pStyle w:val="Heading1"/>
      </w:pPr>
      <w:r>
        <w:t>1. Finalidade</w:t>
      </w:r>
    </w:p>
    <w:p>
      <w:r>
        <w:t>Registro de controle do estado documental, decisões, gates, versões, dependências e rastreabilidade do SOI.</w:t>
      </w:r>
    </w:p>
    <w:p>
      <w:pPr>
        <w:pStyle w:val="Heading1"/>
      </w:pPr>
      <w:r>
        <w:t>2. Estado vigente</w:t>
      </w:r>
    </w:p>
    <w:p>
      <w:pPr>
        <w:pStyle w:val="ListBullet"/>
      </w:pPr>
      <w:r>
        <w:t>Fonte-mestra: Blueprint Oficial V15.1 Refinado.</w:t>
      </w:r>
    </w:p>
    <w:p>
      <w:pPr>
        <w:pStyle w:val="ListBullet"/>
      </w:pPr>
      <w:r>
        <w:t>Fase: G0 — Formalização documental.</w:t>
      </w:r>
    </w:p>
    <w:p>
      <w:pPr>
        <w:pStyle w:val="ListBullet"/>
      </w:pPr>
      <w:r>
        <w:t>Próximo estágio: validação Multi-IA independente; depois G1.</w:t>
      </w:r>
    </w:p>
    <w:p>
      <w:pPr>
        <w:pStyle w:val="ListBullet"/>
      </w:pPr>
      <w:r>
        <w:t>V15.0: histórico, não fonte vigente.</w:t>
      </w:r>
    </w:p>
    <w:p>
      <w:pPr>
        <w:pStyle w:val="Heading1"/>
      </w:pPr>
      <w:r>
        <w:t>3. Regra de pareceres Multi-IA</w:t>
      </w:r>
    </w:p>
    <w:p>
      <w:r>
        <w:t>Cada parecer deve permanecer separado, identificado pela IA autora e sem consolidação até que o usuário solicite e confirme explicitamente seu recebimento.</w:t>
      </w:r>
    </w:p>
    <w:p>
      <w:pPr>
        <w:pStyle w:val="Heading1"/>
      </w:pPr>
      <w:r>
        <w:t>4. Inventário documental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ID</w:t>
            </w:r>
          </w:p>
        </w:tc>
        <w:tc>
          <w:tcPr>
            <w:tcW w:type="dxa" w:w="2484"/>
          </w:tcPr>
          <w:p>
            <w:r>
              <w:t>Documento</w:t>
            </w:r>
          </w:p>
        </w:tc>
        <w:tc>
          <w:tcPr>
            <w:tcW w:type="dxa" w:w="2484"/>
          </w:tcPr>
          <w:p>
            <w:r>
              <w:t>Versão</w:t>
            </w:r>
          </w:p>
        </w:tc>
        <w:tc>
          <w:tcPr>
            <w:tcW w:type="dxa" w:w="2484"/>
          </w:tcPr>
          <w:p>
            <w:r>
              <w:t>Função</w:t>
            </w:r>
          </w:p>
        </w:tc>
      </w:tr>
      <w:tr>
        <w:tc>
          <w:tcPr>
            <w:tcW w:type="dxa" w:w="2484"/>
          </w:tcPr>
          <w:p>
            <w:r>
              <w:t>DOC-01</w:t>
            </w:r>
          </w:p>
        </w:tc>
        <w:tc>
          <w:tcPr>
            <w:tcW w:type="dxa" w:w="2484"/>
          </w:tcPr>
          <w:p>
            <w:r>
              <w:t>Blueprint Oficial</w:t>
            </w:r>
          </w:p>
        </w:tc>
        <w:tc>
          <w:tcPr>
            <w:tcW w:type="dxa" w:w="2484"/>
          </w:tcPr>
          <w:p>
            <w:r>
              <w:t>V15.1</w:t>
            </w:r>
          </w:p>
        </w:tc>
        <w:tc>
          <w:tcPr>
            <w:tcW w:type="dxa" w:w="2484"/>
          </w:tcPr>
          <w:p>
            <w:r>
              <w:t>Fonte-mestra</w:t>
            </w:r>
          </w:p>
        </w:tc>
      </w:tr>
      <w:tr>
        <w:tc>
          <w:tcPr>
            <w:tcW w:type="dxa" w:w="2484"/>
          </w:tcPr>
          <w:p>
            <w:r>
              <w:t>DOC-02</w:t>
            </w:r>
          </w:p>
        </w:tc>
        <w:tc>
          <w:tcPr>
            <w:tcW w:type="dxa" w:w="2484"/>
          </w:tcPr>
          <w:p>
            <w:r>
              <w:t>Registro Mestre</w:t>
            </w:r>
          </w:p>
        </w:tc>
        <w:tc>
          <w:tcPr>
            <w:tcW w:type="dxa" w:w="2484"/>
          </w:tcPr>
          <w:p>
            <w:r>
              <w:t>V1.0</w:t>
            </w:r>
          </w:p>
        </w:tc>
        <w:tc>
          <w:tcPr>
            <w:tcW w:type="dxa" w:w="2484"/>
          </w:tcPr>
          <w:p>
            <w:r>
              <w:t>Controle e rastreabilidade</w:t>
            </w:r>
          </w:p>
        </w:tc>
      </w:tr>
      <w:tr>
        <w:tc>
          <w:tcPr>
            <w:tcW w:type="dxa" w:w="2484"/>
          </w:tcPr>
          <w:p>
            <w:r>
              <w:t>DOC-03</w:t>
            </w:r>
          </w:p>
        </w:tc>
        <w:tc>
          <w:tcPr>
            <w:tcW w:type="dxa" w:w="2484"/>
          </w:tcPr>
          <w:p>
            <w:r>
              <w:t>ADR Registry</w:t>
            </w:r>
          </w:p>
        </w:tc>
        <w:tc>
          <w:tcPr>
            <w:tcW w:type="dxa" w:w="2484"/>
          </w:tcPr>
          <w:p>
            <w:r>
              <w:t>V1.0</w:t>
            </w:r>
          </w:p>
        </w:tc>
        <w:tc>
          <w:tcPr>
            <w:tcW w:type="dxa" w:w="2484"/>
          </w:tcPr>
          <w:p>
            <w:r>
              <w:t>Decisões arquiteturais</w:t>
            </w:r>
          </w:p>
        </w:tc>
      </w:tr>
      <w:tr>
        <w:tc>
          <w:tcPr>
            <w:tcW w:type="dxa" w:w="2484"/>
          </w:tcPr>
          <w:p>
            <w:r>
              <w:t>DOC-04</w:t>
            </w:r>
          </w:p>
        </w:tc>
        <w:tc>
          <w:tcPr>
            <w:tcW w:type="dxa" w:w="2484"/>
          </w:tcPr>
          <w:p>
            <w:r>
              <w:t>Evidence Registry</w:t>
            </w:r>
          </w:p>
        </w:tc>
        <w:tc>
          <w:tcPr>
            <w:tcW w:type="dxa" w:w="2484"/>
          </w:tcPr>
          <w:p>
            <w:r>
              <w:t>V1.0</w:t>
            </w:r>
          </w:p>
        </w:tc>
        <w:tc>
          <w:tcPr>
            <w:tcW w:type="dxa" w:w="2484"/>
          </w:tcPr>
          <w:p>
            <w:r>
              <w:t>Evidências/proveniência</w:t>
            </w:r>
          </w:p>
        </w:tc>
      </w:tr>
      <w:tr>
        <w:tc>
          <w:tcPr>
            <w:tcW w:type="dxa" w:w="2484"/>
          </w:tcPr>
          <w:p>
            <w:r>
              <w:t>DOC-05</w:t>
            </w:r>
          </w:p>
        </w:tc>
        <w:tc>
          <w:tcPr>
            <w:tcW w:type="dxa" w:w="2484"/>
          </w:tcPr>
          <w:p>
            <w:r>
              <w:t>MARP</w:t>
            </w:r>
          </w:p>
        </w:tc>
        <w:tc>
          <w:tcPr>
            <w:tcW w:type="dxa" w:w="2484"/>
          </w:tcPr>
          <w:p>
            <w:r>
              <w:t>V1.0</w:t>
            </w:r>
          </w:p>
        </w:tc>
        <w:tc>
          <w:tcPr>
            <w:tcW w:type="dxa" w:w="2484"/>
          </w:tcPr>
          <w:p>
            <w:r>
              <w:t>Protocolo Multi-IA</w:t>
            </w:r>
          </w:p>
        </w:tc>
      </w:tr>
      <w:tr>
        <w:tc>
          <w:tcPr>
            <w:tcW w:type="dxa" w:w="2484"/>
          </w:tcPr>
          <w:p>
            <w:r>
              <w:t>DOC-06</w:t>
            </w:r>
          </w:p>
        </w:tc>
        <w:tc>
          <w:tcPr>
            <w:tcW w:type="dxa" w:w="2484"/>
          </w:tcPr>
          <w:p>
            <w:r>
              <w:t>Gate 0 / README</w:t>
            </w:r>
          </w:p>
        </w:tc>
        <w:tc>
          <w:tcPr>
            <w:tcW w:type="dxa" w:w="2484"/>
          </w:tcPr>
          <w:p>
            <w:r>
              <w:t>V1.0</w:t>
            </w:r>
          </w:p>
        </w:tc>
        <w:tc>
          <w:tcPr>
            <w:tcW w:type="dxa" w:w="2484"/>
          </w:tcPr>
          <w:p>
            <w:r>
              <w:t>Entrada e governança</w:t>
            </w:r>
          </w:p>
        </w:tc>
      </w:tr>
    </w:tbl>
    <w:p>
      <w:pPr>
        <w:pStyle w:val="Heading1"/>
      </w:pPr>
      <w:r>
        <w:t>5. Gates</w:t>
      </w:r>
    </w:p>
    <w:p>
      <w:pPr>
        <w:pStyle w:val="ListBullet"/>
      </w:pPr>
      <w:r>
        <w:t>G0 — formalização documental.</w:t>
      </w:r>
    </w:p>
    <w:p>
      <w:pPr>
        <w:pStyle w:val="ListBullet"/>
      </w:pPr>
      <w:r>
        <w:t>Gate Multi-IA — pareceres independentes.</w:t>
      </w:r>
    </w:p>
    <w:p>
      <w:pPr>
        <w:pStyle w:val="ListBullet"/>
      </w:pPr>
      <w:r>
        <w:t>G1 — arquitetura implementável.</w:t>
      </w:r>
    </w:p>
    <w:p>
      <w:pPr>
        <w:pStyle w:val="ListBullet"/>
      </w:pPr>
      <w:r>
        <w:t>G2 — modelo de dados + contratos.</w:t>
      </w:r>
    </w:p>
    <w:p>
      <w:pPr>
        <w:pStyle w:val="ListBullet"/>
      </w:pPr>
      <w:r>
        <w:t>G3 — MVP SOI Pizzas.</w:t>
      </w:r>
    </w:p>
    <w:p>
      <w:pPr>
        <w:pStyle w:val="ListBullet"/>
      </w:pPr>
      <w:r>
        <w:t>G4 — N5 Cockpit.</w:t>
      </w:r>
    </w:p>
    <w:p>
      <w:pPr>
        <w:pStyle w:val="ListBullet"/>
      </w:pPr>
      <w:r>
        <w:t>G5 — replicação/escala.</w:t>
      </w:r>
    </w:p>
    <w:p>
      <w:pPr>
        <w:pStyle w:val="Heading1"/>
      </w:pPr>
      <w:r>
        <w:t>6. Log de mudanças</w:t>
      </w:r>
    </w:p>
    <w:p>
      <w:r>
        <w:t>V15.0 → V15.1: refinamento de governança, fatia fina, proveniência, D1/D2/D3, break-glass, anti-corruption layer, custo de IA, separação demo/produção e disciplina de gates.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SOI • Documento controlado • Não incorporar pareceres Multi-IA sem confirmação explícita do usuário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