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8FEC" w14:textId="220E9FBE" w:rsidR="00007729" w:rsidRDefault="0076129C">
      <w:r>
        <w:t>Use a tag “a” e despois das “aspas” do link adicione a “target” e entre “aspas” utilize “_blank” para que o link seja aberto em outra janela.</w:t>
      </w:r>
    </w:p>
    <w:p w14:paraId="4EA2BF07" w14:textId="554201E4" w:rsidR="0076129C" w:rsidRDefault="0076129C">
      <w:r>
        <w:rPr>
          <w:noProof/>
        </w:rPr>
        <w:drawing>
          <wp:inline distT="0" distB="0" distL="0" distR="0" wp14:anchorId="604F69E8" wp14:editId="1D6B62E5">
            <wp:extent cx="5400040" cy="2091055"/>
            <wp:effectExtent l="0" t="0" r="0" b="4445"/>
            <wp:docPr id="18082882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8825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17"/>
    <w:rsid w:val="00007729"/>
    <w:rsid w:val="00215517"/>
    <w:rsid w:val="0076129C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C6E9"/>
  <w15:chartTrackingRefBased/>
  <w15:docId w15:val="{33FBCDE7-012E-4558-8BC2-76CCF1E3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2023-08-09T11:59:00Z</dcterms:created>
  <dcterms:modified xsi:type="dcterms:W3CDTF">2023-08-09T12:00:00Z</dcterms:modified>
</cp:coreProperties>
</file>