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Detailed Audit of Summary &amp; Valuation Tabs for Rationale</w:t>
      </w:r>
    </w:p>
    <w:p>
      <w:r>
        <w:t>This report documents a comprehensive audit of the **Overview** and **Valuation** tabs on the Rationale Capital website, focusing on the ‘Rational Retail Analyst’ buyer persona. The analysis is based on the latest version of the site as viewed on 25 May 2026. It identifies strengths, potential sources of confusion, and targeted improvements to better serve the core user.</w:t>
      </w:r>
    </w:p>
    <w:p>
      <w:pPr>
        <w:pStyle w:val="Heading2"/>
      </w:pPr>
      <w:r>
        <w:t>1. Overview Tab Audit</w:t>
      </w:r>
    </w:p>
    <w:p>
      <w:pPr>
        <w:pStyle w:val="Heading3"/>
      </w:pPr>
      <w:r>
        <w:t>Current strengths</w:t>
      </w:r>
    </w:p>
    <w:p>
      <w:r>
        <w:t>• **Immediate verdict and pricing context:** The hero section clearly shows the current share price, a blended fair‑value estimate, upside percentage and a short tagline summarising whether the stock looks attractive or overvalued. This gives users a quick sense of valuation without having to dig for it【367775504948336†screenshot】.</w:t>
        <w:br/>
        <w:t>• **Structured valuation narrative:** A Reverse‑DCF panel explains the growth rate implied by the current market price and compares it against the company’s three‑year historical growth record, emphasising whether market expectations are conservative or aggressive【367775504948336†screenshot】.</w:t>
        <w:br/>
        <w:t>• **Business‑quality signals:** Colour‑coded grades for profitability, liquidity, growth and economic moat, along with Piotroski, Altman and Beneish scores, provide concise snapshots of the company’s financial health【715856045379595†screenshot】.</w:t>
        <w:br/>
        <w:t>• **Supporting charts and multiples:** Revenue history, margin trends, 52‑week range and TTM multiples are visualised clearly, giving users additional context without overwhelming them【894653585979214†screenshot】.</w:t>
        <w:br/>
      </w:r>
    </w:p>
    <w:p>
      <w:pPr>
        <w:pStyle w:val="Heading3"/>
      </w:pPr>
      <w:r>
        <w:t>Areas for improvement &amp; user persona alignment</w:t>
      </w:r>
    </w:p>
    <w:p>
      <w:r>
        <w:t>**1. Cognitive overload through continuous scroll.** The Overview page mixes pricing, fair‑value commentary, Reverse‑DCF analysis, business‑quality signals, company description and charts in a single long scroll【715856045379595†screenshot】. Intermediate retail investors may find it hard to prioritise what matters most.</w:t>
      </w:r>
    </w:p>
    <w:p>
      <w:r>
        <w:t>**Suggestion:** Break the page into collapsible sections or cards with clear headings such as *Price vs Fair Value*, *Business Quality*, *Growth &amp; Profitability* and *Company Overview*. Keep each section short, with optional ‘Read more’ toggles for details. This aligns with the buyer persona’s need to quickly orient themselves and prevents fatigue.</w:t>
      </w:r>
    </w:p>
    <w:p>
      <w:r>
        <w:t>**2. Unclear call‑to‑action for deeper analysis.** The ‘Explore full valuation’ banner appears near the bottom of the Overview tab but can be easily missed【718996011489812†screenshot】. Users might not realise they can adjust assumptions and view detailed models.</w:t>
      </w:r>
    </w:p>
    <w:p>
      <w:r>
        <w:t>**Suggestion:** Place a prominent ‘Go to Valuation’ button above the fold, perhaps fixed at the bottom of the hero card. Emphasise the benefit (e.g., ‘Adjust assumptions and compare valuation models’).</w:t>
      </w:r>
    </w:p>
    <w:p>
      <w:r>
        <w:t>**3. Negative implied growth may confuse users.** The Reverse‑DCF panel currently shows the implied growth rate (e.g., –7.5 % 5Y revenue CAGR) when the market’s expectations are extremely conservative【367775504948336†screenshot】. Without context, a negative CAGR might look like an error or make novices think the company is shrinking.</w:t>
      </w:r>
    </w:p>
    <w:p>
      <w:r>
        <w:t>**Suggestion:** Add a plain‑language interpretation next to the number: “A negative implied growth rate means the market is pricing the stock as if revenue will shrink—this suggests conservative expectations and could imply opportunity if you expect growth to resume.”</w:t>
      </w:r>
    </w:p>
    <w:p>
      <w:r>
        <w:t>**4. Repetitive or technical labels.** Terms such as TTM, CAGR, EV/EBITDA and FCFF appear without tooltips. Beginners may not know what they mean. Repetition of ‘Not financial advice’ and other legal text breaks the flow【718996011489812†screenshot】.</w:t>
      </w:r>
    </w:p>
    <w:p>
      <w:r>
        <w:t>**Suggestion:** Provide hover tooltips or small info icons for jargon (CAGR, EV/EBITDA, FCFF) and consolidate legal notices into a single clearly visible disclaimer. Remove duplicated statements where possible.</w:t>
      </w:r>
    </w:p>
    <w:p>
      <w:r>
        <w:t>**5. Business‑quality grades need clearer ties to valuation.** The Profitability, Liquidity, Growth and Moat grades appear in isolation【715856045379595†screenshot】; it isn’t clear how they relate to the fair‑value estimate.</w:t>
      </w:r>
    </w:p>
    <w:p>
      <w:r>
        <w:t>**Suggestion:** Move these grades nearer to the fair‑value summary and accompany them with a simple explanation (e.g., “Strong profitability and growth mean this company deserves a premium multiple relative to peers”). This helps the user connect quality and valuation.</w:t>
      </w:r>
    </w:p>
    <w:p>
      <w:pPr>
        <w:pStyle w:val="Heading2"/>
      </w:pPr>
      <w:r>
        <w:t>2. Valuation Tab Audit</w:t>
      </w:r>
    </w:p>
    <w:p>
      <w:pPr>
        <w:pStyle w:val="Heading3"/>
      </w:pPr>
      <w:r>
        <w:t>Current strengths</w:t>
      </w:r>
    </w:p>
    <w:p>
      <w:r>
        <w:t>• **Blended fair‑value summary and upside:** The top of the Valuation tab immediately displays a blended fair value with an upside percentage, a model‑confidence bar, a breakdown of model weights and a scenario range【138695442056103†screenshot】. This condensed summary helps users grasp the spread between models and where the current price stands.</w:t>
        <w:br/>
        <w:t>• **Scenario cards for bear/base/bull:** Colour‑coded scenario cards clearly specify the implied upside, fair‑value estimate, WACC, CAGR and terminal growth for bear, base and bull cases, along with notes on how the cases differ (e.g., ±1 % WACC, ±20 % CAGR)【138695442056103†screenshot】.</w:t>
        <w:br/>
        <w:t>• **Fair‑value comparison chart:** A lollipop chart visually compares fair values from forward P/E, EV/EBITDA, revenue multiple and core DCF methods, with a diamond marking the weighted blended estimate【827261773633674†screenshot】. This gives a clear sense of where each model stands relative to the current price.</w:t>
        <w:br/>
        <w:t>• **Useful “How to use this model” guidance:** Each model card includes a brief description and step‑by‑step instructions on when to trust the model and its limitations. For example, the Reverse DCF card explains how to interpret market‑implied growth vs analyst and historical rates, and advises what to watch for【241216020819787†screenshot】.</w:t>
        <w:br/>
      </w:r>
    </w:p>
    <w:p>
      <w:pPr>
        <w:pStyle w:val="Heading3"/>
      </w:pPr>
      <w:r>
        <w:t>Areas for improvement &amp; user persona alignment</w:t>
      </w:r>
    </w:p>
    <w:p>
      <w:r>
        <w:t>**1. Information hierarchy could be sharper.** The page opens with model weights and blended fair value, which may not answer the user’s most pressing question: ‘Is this stock reasonably priced?’ Reverse DCF—the most differentiating model—is listed after the fair‑value chart and multiple models【827261773633674†screenshot】.</w:t>
      </w:r>
    </w:p>
    <w:p>
      <w:r>
        <w:t>**Suggestion:** Introduce a plain‑English verdict at the top: ‘Based on current price and growth assumptions, MELI looks undervalued by ~125 %; recommended rating: Buy/Watch/Avoid.’ Immediately below, show the implied growth rate vs history and analyst expectations to ground the verdict. Reserve the model‑weight chart and detailed scenario boxes for secondary sections.</w:t>
      </w:r>
    </w:p>
    <w:p>
      <w:r>
        <w:t>**2. Overload of valuation methods.** Four methods (forward P/E, EV/EBITDA, revenue multiple and core DCF) plus a full DCF modelling table are displayed equally. For a retail investor, this can be overwhelming, and the EV/EBITDA result is –49.7 % below the current price, which may confuse the user【627131843939579†screenshot】.</w:t>
      </w:r>
    </w:p>
    <w:p>
      <w:r>
        <w:t>**Suggestion:** Prioritise Reverse DCF and blended fair value as the core outputs, followed by the full DCF summary. Move the multiples into an expandable ‘Sanity checks’ section with clear notes on when each is relevant. Highlight limitations: EV/EBITDA is less reliable for high‑growth firms; revenue multiples are better for pre‑profit companies【339375717675010†screenshot】. For an intermediate user, fewer well‑explained models are better than many.</w:t>
      </w:r>
    </w:p>
    <w:p>
      <w:r>
        <w:t>**3. Complexity of editing assumptions.** In the Full DCF Modelling Table, users are invited to click into individual ‘Revenue % Growth’ cells to adjust assumptions year by year【300831253807618†screenshot】. This grid resembles an analyst spreadsheet and may intimidate or confuse the Rational Retail Analyst.</w:t>
      </w:r>
    </w:p>
    <w:p>
      <w:r>
        <w:t>**Suggestion:** Offer a higher‑level assumption panel with sliders or +/– buttons for key drivers such as revenue CAGR, EBIT/EBITDA margin, WACC and terminal growth. Adjustments should update the valuation in real time, with charts illustrating sensitivity. For advanced users, keep the detailed table accessible under an ‘Advanced’ toggle.</w:t>
        <w:br/>
        <w:t xml:space="preserve">*Example:* Provide a slider labeled ‘Revenue growth (5‑year CAGR)’ from –10 % to +30 % with tick marks at 0 %, 10 %, 20 %. Another slider for ‘EBIT margin’ (0 – 40 %), and a field for WACC that defaults to the model’s value. </w:t>
      </w:r>
    </w:p>
    <w:p>
      <w:r>
        <w:t>**4. Ambiguous model‑confidence indicator.** The ‘High model disagreement’ tag appears without explaining what constitutes disagreement or how users should react【138695442056103†screenshot】.</w:t>
      </w:r>
    </w:p>
    <w:p>
      <w:r>
        <w:t>**Suggestion:** Add a tooltip or small pop‑up explaining that model disagreement arises when multiples and DCF results diverge significantly. Suggest the user dig into the assumptions and perhaps weight certain models less if they are not appropriate (e.g., EV/EBITDA for high‑growth companies).</w:t>
      </w:r>
    </w:p>
    <w:p>
      <w:r>
        <w:t>**5. Lack of contextual commentary.** Each scenario card lists WACC, CAGR and terminal growth but does not describe why these numbers are used or what risk factors could push the company into a bear or bull case【138695442056103†screenshot】. Likewise, the multiple‑based models list a sector multiple and company multiple without explaining sector selection or the company’s historical multiples【339375717675010†screenshot】.</w:t>
      </w:r>
    </w:p>
    <w:p>
      <w:r>
        <w:t>**Suggestion:** Include a brief note for each scenario: ‘Bear case assumes economic slowdown and margin compression.’ ‘Bull case assumes sustained margin expansion and regulatory tailwinds.’ For multiples, note the sector median and the rationale for using it (e.g., Consumer Cyclical sector, which has median EV/EBITDA of 13×, is applied).</w:t>
      </w:r>
    </w:p>
    <w:p>
      <w:r>
        <w:t>**6. Hidden next steps.** The call‑to‑action options—‘Save valuation,’ ‘Adjust assumptions,’ ‘Check the financials’—are positioned at the bottom of the page【627131843939579†screenshot】. Users may not see them or understand why they matter.</w:t>
      </w:r>
    </w:p>
    <w:p>
      <w:r>
        <w:t>**Suggestion:** Insert these CTAs earlier and tie them to the user journey: after reviewing the verdict, prompt the user to customise assumptions or save their valuation. Indicate that saving unlocks alerts when the price approaches fair value.</w:t>
      </w:r>
    </w:p>
    <w:p>
      <w:pPr>
        <w:pStyle w:val="Heading2"/>
      </w:pPr>
      <w:r>
        <w:t>3. Valuation Methods – Evaluation &amp; Enhancements</w:t>
      </w:r>
    </w:p>
    <w:p>
      <w:r>
        <w:t>Below is a critique of each valuation method and suggestions for simpler or additional models that align with the Rational Retail Analyst persona.</w:t>
      </w:r>
    </w:p>
    <w:p>
      <w:pPr>
        <w:pStyle w:val="Heading3"/>
      </w:pPr>
      <w:r>
        <w:t>Reverse DCF</w:t>
      </w:r>
    </w:p>
    <w:p>
      <w:r>
        <w:t>This model solves for the revenue CAGR implied by the current share price, assuming fixed margins and WACC. It helps users understand market expectations and compares them to analyst consensus and historical growth【241216020819787†screenshot】. This is a differentiator and should remain front and centre.</w:t>
      </w:r>
    </w:p>
    <w:p>
      <w:r>
        <w:t>**Improvements:**</w:t>
        <w:br/>
        <w:t>• Provide more intuitive language when the implied growth is negative or very low (e.g., “Market is pricing the company for revenue decline – conservative expectations”).</w:t>
        <w:br/>
        <w:t>• Allow users to quickly test alternative margin assumptions via a slider or dropdown (e.g., ‘What if FCF margin improves from 37 % to 40 %?’).</w:t>
        <w:br/>
        <w:t>• Display a simple graphic showing historical CAGR bands (e.g., 3‑year, 5‑year) so users see where the market sits relative to history.</w:t>
      </w:r>
    </w:p>
    <w:p>
      <w:pPr>
        <w:pStyle w:val="Heading3"/>
      </w:pPr>
      <w:r>
        <w:t>Full DCF Modelling Table</w:t>
      </w:r>
    </w:p>
    <w:p>
      <w:r>
        <w:t>The table triangulates FCFF, FCFE and DDM models, allowing year‑by‑year adjustments. It is powerful but complex【300831253807618†screenshot】.</w:t>
      </w:r>
    </w:p>
    <w:p>
      <w:r>
        <w:t>**Improvements:**</w:t>
        <w:br/>
        <w:t>• Hide this table behind an ‘Advanced modeling’ toggle by default.</w:t>
        <w:br/>
        <w:t>• Offer high‑level sliders for WACC, terminal growth and average revenue growth. Let the user see immediate changes in fair value without interacting with a detailed spreadsheet.</w:t>
        <w:br/>
        <w:t>• Include a sensitivity chart (tornado diagram) showing which variables most affect valuation. This educates users and prevents over‑confidence in a single estimate.</w:t>
      </w:r>
    </w:p>
    <w:p>
      <w:pPr>
        <w:pStyle w:val="Heading3"/>
      </w:pPr>
      <w:r>
        <w:t>Forward P/E</w:t>
      </w:r>
    </w:p>
    <w:p>
      <w:r>
        <w:t>This method assumes an exit P/E multiple on projected earnings. It works best for profitable companies with stable margins. The current card lists CAGR, exit P/E and margin【627131843939579†screenshot】.</w:t>
      </w:r>
    </w:p>
    <w:p>
      <w:r>
        <w:t>**Improvements:**</w:t>
        <w:br/>
        <w:t>• Explain why the chosen exit multiple (e.g., 35×) is appropriate—compare it to historical and sector averages.</w:t>
        <w:br/>
        <w:t>• Allow the user to adjust the exit multiple within a reasonable range (e.g., 20×–40×) via a slider or +/– buttons.</w:t>
        <w:br/>
        <w:t>• Warn users that high multiples imply high growth expectations and suggest caution if the implied growth far exceeds history.</w:t>
      </w:r>
    </w:p>
    <w:p>
      <w:pPr>
        <w:pStyle w:val="Heading3"/>
      </w:pPr>
      <w:r>
        <w:t>EV/EBITDA</w:t>
      </w:r>
    </w:p>
    <w:p>
      <w:r>
        <w:t>The EV/EBITDA method applies a sector median multiple to TTM earnings to estimate enterprise value and divides by shares to get a fair price. The current implementation includes a concise use‑case guide and automatically selects the sector multiple【339375717675010†screenshot】.</w:t>
      </w:r>
    </w:p>
    <w:p>
      <w:r>
        <w:t>**Improvements:**</w:t>
        <w:br/>
        <w:t>• Clarify which sector multiple is being used (e.g., Consumer Cyclical median 13×).</w:t>
        <w:br/>
        <w:t>• Note limitations, such as debt and cash differences and where EBITDA is volatile.</w:t>
        <w:br/>
        <w:t>• Provide an option to adjust the multiple up or down if the user believes the company deserves a premium or discount.</w:t>
      </w:r>
    </w:p>
    <w:p>
      <w:pPr>
        <w:pStyle w:val="Heading3"/>
      </w:pPr>
      <w:r>
        <w:t>Revenue Multiple</w:t>
      </w:r>
    </w:p>
    <w:p>
      <w:r>
        <w:t>This model is useful for high‑growth or pre‑profit companies. It multiplies revenue by a sector multiple and divides by shares. The card shows CAGR and EV/Rev and lists typical use cases【627131843939579†screenshot】.</w:t>
      </w:r>
    </w:p>
    <w:p>
      <w:r>
        <w:t>**Improvements:**</w:t>
        <w:br/>
        <w:t>• Explain why this multiple is appropriate (e.g., median EV/Revenue for internet retailers is 3.8×).</w:t>
        <w:br/>
        <w:t>• Provide context on what revenue growth rate is assumed and whether the company is expected to expand margins.</w:t>
        <w:br/>
        <w:t>• Offer user adjustments for the multiple if they believe the company deserves a premium or discount.</w:t>
      </w:r>
    </w:p>
    <w:p>
      <w:pPr>
        <w:pStyle w:val="Heading3"/>
      </w:pPr>
      <w:r>
        <w:t>Potential additional methods</w:t>
      </w:r>
    </w:p>
    <w:p>
      <w:r>
        <w:t>• **Dividend Discount Model (DDM)** – For mature dividend‑paying companies, a simple DDM may be easier for retail users to understand than a full DCF.</w:t>
        <w:br/>
        <w:t>• **Net Asset Value or Sum‑of‑the‑Parts** – For companies with multiple segments, break down valuation by segment (e.g., marketplace, fintech) and sum them.</w:t>
        <w:br/>
        <w:t>• **Relative ‘PEG’ Ratio Screen** – Instead of an absolute multiple, show whether the P/E relative to growth (PEG) is attractive or high. This might resonate with users familiar with basic valuation heuristics.</w:t>
      </w:r>
    </w:p>
    <w:p>
      <w:pPr>
        <w:pStyle w:val="Heading2"/>
      </w:pPr>
      <w:r>
        <w:t>4. Assumption Editing Interface</w:t>
      </w:r>
    </w:p>
    <w:p>
      <w:r>
        <w:t>The ability to adjust assumptions is critical for building conviction. The current interface requires clicking cells in a modelling table【300831253807618†screenshot】, which is reminiscent of an analyst’s spreadsheet and may deter the target user.</w:t>
      </w:r>
    </w:p>
    <w:p>
      <w:r>
        <w:t>**Recommendations:**</w:t>
        <w:br/>
        <w:t>• **Use interactive sliders or +/– buttons** for primary drivers (revenue CAGR, operating margin, WACC, terminal growth). Real‑time feedback makes the exercise engaging and accessible.</w:t>
        <w:br/>
        <w:t>• **Provide guardrails** by limiting ranges to realistic values. Show default and adjusted values side by side with a clear note if the assumption is unusually aggressive or conservative.</w:t>
        <w:br/>
        <w:t>• **Present preset scenarios** (e.g., *Conservative*, *Base*, *Optimistic*). Users can select a scenario and then tweak one or two variables instead of editing every year.</w:t>
        <w:br/>
        <w:t>• **Explain effects of changes**: When a user increases the margin or growth slider, display a summary of how the fair value and implied upside change. Include a short sentence describing why (e.g., ‘Higher margin lifts free cash flow, increasing fair value by X %’).</w:t>
        <w:br/>
        <w:t>• **Keep the full modelling table** for advanced users behind an ‘Advanced view’ link. Ensure that any modifications in the simplified interface update the underlying table, but hide the complexity by default.</w:t>
      </w:r>
    </w:p>
    <w:p>
      <w:pPr>
        <w:pStyle w:val="Heading2"/>
      </w:pPr>
      <w:r>
        <w:t>5. Summary &amp; Final Recommendations</w:t>
      </w:r>
    </w:p>
    <w:p>
      <w:r>
        <w:t>The Rationale Capital website offers a sophisticated valuation engine that can empower serious retail investors. However, there is an opportunity to simplify the presentation and streamline the user experience to align with the Rational Retail Analyst persona. By:</w:t>
      </w:r>
    </w:p>
    <w:p>
      <w:r>
        <w:t>• **Prioritising the Reverse DCF and a clear buy/watch/avoid verdict** before diving into model details;</w:t>
        <w:br/>
        <w:t>• **Grouping information into digestible sections** on the Overview tab;</w:t>
        <w:br/>
        <w:t>• **Reducing model clutter** and clearly explaining when to trust each method;</w:t>
        <w:br/>
        <w:t>• **Introducing intuitive controls** for adjusting key assumptions; and</w:t>
        <w:br/>
        <w:t>• **Adding more contextual guidance** for multiples and scenarios,</w:t>
        <w:br/>
        <w:t>Rationale can become not just a dashboard but a decision aid that resonates with its core users and encourages repeat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