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Rationale Capital: Summary and Valuation Tab Modifications</w:t>
      </w:r>
    </w:p>
    <w:p>
      <w:r>
        <w:t>This document summarises the analysis of the Overview (summary) and Valuation tabs for the NVDA stock page on Rationale Capital. The goal is to identify what works well and propose modifications that align the user experience with the needs of the primary buyer persona, the Rational Retail Analyst.</w:t>
      </w:r>
    </w:p>
    <w:p>
      <w:pPr>
        <w:pStyle w:val="Heading2"/>
      </w:pPr>
      <w:r>
        <w:t>1. Overview (Summary) Tab</w:t>
      </w:r>
    </w:p>
    <w:p>
      <w:r>
        <w:t>The Overview tab serves as the default “summary” page and provides a data-dense snapshot of a company’s fundamentals. For NVDA, it displays the current price alongside Rationale’s fair-value estimate, a Reverse DCF analysis, business quality grades, quality signals, company description, revenue history, margin trends, and valuation multiples.</w:t>
      </w:r>
    </w:p>
    <w:p>
      <w:pPr>
        <w:pStyle w:val="Heading3"/>
      </w:pPr>
      <w:r>
        <w:t>What Works Well</w:t>
      </w:r>
    </w:p>
    <w:p>
      <w:pPr>
        <w:pStyle w:val="ListBullet"/>
      </w:pPr>
      <w:r>
        <w:t>Clear entry point: The page immediately communicates whether the stock looks over- or under-valued and invites the user to explore detailed valuation.</w:t>
      </w:r>
    </w:p>
    <w:p>
      <w:pPr>
        <w:pStyle w:val="ListBullet"/>
      </w:pPr>
      <w:r>
        <w:t>Reverse‑DCF framing: Comparing implied growth to historical performance provides an intuitive anchor for price expectations.</w:t>
      </w:r>
    </w:p>
    <w:p>
      <w:pPr>
        <w:pStyle w:val="ListBullet"/>
      </w:pPr>
      <w:r>
        <w:t>Health and quality signals: Colour-coded grades and indicators for profitability, liquidity, growth, economic moat, and accounting quality make the information digestible and trustworthy.</w:t>
      </w:r>
    </w:p>
    <w:p>
      <w:pPr>
        <w:pStyle w:val="Heading3"/>
      </w:pPr>
      <w:r>
        <w:t>Areas to Refine</w:t>
      </w:r>
    </w:p>
    <w:p>
      <w:pPr>
        <w:pStyle w:val="ListBullet"/>
      </w:pPr>
      <w:r>
        <w:t>Reduce information overload: Group related content into collapsible sections such as “Price vs Fair Value,” “Business Quality,” and “Company Overview” to reduce scrolling and cognitive load.</w:t>
      </w:r>
    </w:p>
    <w:p>
      <w:pPr>
        <w:pStyle w:val="ListBullet"/>
      </w:pPr>
      <w:r>
        <w:t>Emphasise the Reverse‑DCF verdict: Highlight the difference between implied and historical growth with a clear call-out or colour-coded delta, and summarise the implication in plain language.</w:t>
      </w:r>
    </w:p>
    <w:p>
      <w:pPr>
        <w:pStyle w:val="ListBullet"/>
      </w:pPr>
      <w:r>
        <w:t>Clarify calls to action: Make the “Explore full valuation” button more prominent and integrate the buy/watch/avoid recommendation into the hero section so users know what action to take next.</w:t>
      </w:r>
    </w:p>
    <w:p>
      <w:pPr>
        <w:pStyle w:val="ListBullet"/>
      </w:pPr>
      <w:r>
        <w:t>Integrate quality signals: Summarise financial health grades alongside the price/value verdict so users can see if overvaluation is driven by high quality or market hype.</w:t>
      </w:r>
    </w:p>
    <w:p>
      <w:pPr>
        <w:pStyle w:val="ListBullet"/>
      </w:pPr>
      <w:r>
        <w:t>Provide explanations and tooltips: Offer brief descriptions or hover tooltips for technical metrics like Piotroski and Beneish scores, and abbreviations such as TTM or CAGR.</w:t>
      </w:r>
    </w:p>
    <w:p>
      <w:pPr>
        <w:pStyle w:val="ListBullet"/>
      </w:pPr>
      <w:r>
        <w:t>Use space and layout effectively: Increase white space, collapse lengthy company descriptions into “Read more” sections, and ensure charts and panels are sized appropriately for mobile.</w:t>
      </w:r>
    </w:p>
    <w:p>
      <w:pPr>
        <w:pStyle w:val="Heading2"/>
      </w:pPr>
      <w:r>
        <w:t>2. Valuation Tab</w:t>
      </w:r>
    </w:p>
    <w:p>
      <w:r>
        <w:t>The Valuation tab contains a blended fair-value card, model‑confidence and scenario ranges, a chart of different valuation models, instructions on using models, and individual model cards for multiples and DCF methods.</w:t>
      </w:r>
    </w:p>
    <w:p>
      <w:pPr>
        <w:pStyle w:val="Heading3"/>
      </w:pPr>
      <w:r>
        <w:t>What Works Well</w:t>
      </w:r>
    </w:p>
    <w:p>
      <w:pPr>
        <w:pStyle w:val="ListBullet"/>
      </w:pPr>
      <w:r>
        <w:t>Concise valuation summary: The blended fair-value card shows the model estimate versus current price, model confidence, and bull/base/bear ranges.</w:t>
      </w:r>
    </w:p>
    <w:p>
      <w:pPr>
        <w:pStyle w:val="ListBullet"/>
      </w:pPr>
      <w:r>
        <w:t>Model transparency: Each valuation method lists key assumptions, weights, and confidence levels, letting users see how the blended estimate is built.</w:t>
      </w:r>
    </w:p>
    <w:p>
      <w:pPr>
        <w:pStyle w:val="ListBullet"/>
      </w:pPr>
      <w:r>
        <w:t>Guidance for users: An instructional panel suggests how to interpret different models (e.g., start with forward P/E, check reverse DCF) and encourages users to adjust assumptions.</w:t>
      </w:r>
    </w:p>
    <w:p>
      <w:pPr>
        <w:pStyle w:val="Heading3"/>
      </w:pPr>
      <w:r>
        <w:t>Areas to Refine</w:t>
      </w:r>
    </w:p>
    <w:p>
      <w:pPr>
        <w:pStyle w:val="ListBullet"/>
      </w:pPr>
      <w:r>
        <w:t>Reorder model emphasis: Feature Reverse DCF at the top of the model list and chart, followed by the core DCF and blended estimate, then multiples. This aligns with the central promise of “What does the price assume?”.</w:t>
      </w:r>
    </w:p>
    <w:p>
      <w:pPr>
        <w:pStyle w:val="ListBullet"/>
      </w:pPr>
      <w:r>
        <w:t>Move model-use guidance higher: Place the “How to use these models” instructions above the valuations chart or display them contextually so users don’t miss them.</w:t>
      </w:r>
    </w:p>
    <w:p>
      <w:pPr>
        <w:pStyle w:val="ListBullet"/>
      </w:pPr>
      <w:r>
        <w:t>Explain model disagreement: Provide a tooltip or quick explanation for terms like “High model disagreement” and “Model confidence” near the summary card.</w:t>
      </w:r>
    </w:p>
    <w:p>
      <w:pPr>
        <w:pStyle w:val="ListBullet"/>
      </w:pPr>
      <w:r>
        <w:t>Simplify and group model cards: Group advanced models behind an expandable section. Include plain‑language explanations for inputs such as WACC, terminal growth and CAGR, and only display detailed tables when requested.</w:t>
      </w:r>
    </w:p>
    <w:p>
      <w:pPr>
        <w:pStyle w:val="ListBullet"/>
      </w:pPr>
      <w:r>
        <w:t>Tie quality signals to valuation: Add a brief statement connecting business quality grades to the fair-value discussion to help users interpret why overvaluation may persist.</w:t>
      </w:r>
    </w:p>
    <w:p>
      <w:pPr>
        <w:pStyle w:val="ListBullet"/>
      </w:pPr>
      <w:r>
        <w:t>Streamline the end of page: Offer a clear next action (e.g., “Save valuation,” “Adjust assumptions,” or “Add to My Valuations”) instead of leaving the user to decide what to do next.</w:t>
      </w:r>
    </w:p>
    <w:p>
      <w:pPr>
        <w:pStyle w:val="ListBullet"/>
      </w:pPr>
      <w:r>
        <w:t>Reduce jargon and redundancy: Consolidate multiple disclaimer messages and provide a glossary link for unfamiliar financial acronyms and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