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1057" w:type="dxa"/>
        <w:tblInd w:w="-1281" w:type="dxa"/>
        <w:tblLayout w:type="fixed"/>
        <w:tblLook w:val="04A0" w:firstRow="1" w:lastRow="0" w:firstColumn="1" w:lastColumn="0" w:noHBand="0" w:noVBand="1"/>
        <w:tblCaption w:val="Acórdãos TCU"/>
      </w:tblPr>
      <w:tblGrid>
        <w:gridCol w:w="425"/>
        <w:gridCol w:w="2411"/>
        <w:gridCol w:w="8221"/>
      </w:tblGrid>
      <w:tr w:rsidR="00656517" w:rsidRPr="00C1175A" w14:paraId="7F446FE4" w14:textId="77777777" w:rsidTr="00C1175A">
        <w:tc>
          <w:tcPr>
            <w:tcW w:w="11057" w:type="dxa"/>
            <w:gridSpan w:val="3"/>
          </w:tcPr>
          <w:p w14:paraId="451CDC83" w14:textId="4FE6D226" w:rsidR="00656517" w:rsidRPr="00C1175A" w:rsidRDefault="00656517" w:rsidP="002358F4">
            <w:pPr>
              <w:jc w:val="center"/>
              <w:rPr>
                <w:b/>
                <w:bCs/>
                <w:sz w:val="20"/>
                <w:szCs w:val="20"/>
              </w:rPr>
            </w:pPr>
            <w:r w:rsidRPr="00C1175A">
              <w:rPr>
                <w:b/>
                <w:bCs/>
                <w:sz w:val="20"/>
                <w:szCs w:val="20"/>
              </w:rPr>
              <w:t>Acórdãos TCU</w:t>
            </w:r>
          </w:p>
        </w:tc>
      </w:tr>
      <w:tr w:rsidR="00886C65" w:rsidRPr="00C1175A" w14:paraId="5E913C8E" w14:textId="77777777" w:rsidTr="00C1175A">
        <w:tc>
          <w:tcPr>
            <w:tcW w:w="425" w:type="dxa"/>
          </w:tcPr>
          <w:p w14:paraId="243C6374" w14:textId="3D033FC7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11" w:type="dxa"/>
          </w:tcPr>
          <w:p w14:paraId="3BC03082" w14:textId="21DA717A" w:rsidR="00886C65" w:rsidRPr="00917A29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6" w:history="1">
              <w:r w:rsidRPr="00917A29">
                <w:rPr>
                  <w:rStyle w:val="Hyperlink"/>
                  <w:sz w:val="20"/>
                  <w:szCs w:val="20"/>
                </w:rPr>
                <w:t>Acórdão 3053/2025 Segunda Câmara</w:t>
              </w:r>
            </w:hyperlink>
            <w:r w:rsidR="006259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(Contrato Administrativo. Fiscal. Responsabilidade.)</w:t>
            </w:r>
          </w:p>
        </w:tc>
        <w:tc>
          <w:tcPr>
            <w:tcW w:w="8221" w:type="dxa"/>
          </w:tcPr>
          <w:p w14:paraId="5711BD1F" w14:textId="72A85D95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917A29">
              <w:rPr>
                <w:sz w:val="20"/>
                <w:szCs w:val="20"/>
              </w:rPr>
              <w:t>O fiscal de contrato designado, diante da sobrecarga de trabalho para exercer adequadamente suas competências, em razão</w:t>
            </w:r>
            <w:r>
              <w:rPr>
                <w:sz w:val="20"/>
                <w:szCs w:val="20"/>
              </w:rPr>
              <w:t xml:space="preserve"> </w:t>
            </w:r>
            <w:r w:rsidRPr="00917A29">
              <w:rPr>
                <w:sz w:val="20"/>
                <w:szCs w:val="20"/>
              </w:rPr>
              <w:t xml:space="preserve">de elevado número de contratos já sob sua fiscalização, </w:t>
            </w:r>
            <w:r w:rsidRPr="00917A29">
              <w:rPr>
                <w:b/>
                <w:bCs/>
                <w:sz w:val="20"/>
                <w:szCs w:val="20"/>
              </w:rPr>
              <w:t>deve comunicar a situação a seus superiores</w:t>
            </w:r>
            <w:r w:rsidRPr="00917A29">
              <w:rPr>
                <w:sz w:val="20"/>
                <w:szCs w:val="20"/>
              </w:rPr>
              <w:t>, para adoção das</w:t>
            </w:r>
            <w:r>
              <w:rPr>
                <w:sz w:val="20"/>
                <w:szCs w:val="20"/>
              </w:rPr>
              <w:t xml:space="preserve"> </w:t>
            </w:r>
            <w:r w:rsidRPr="00917A29">
              <w:rPr>
                <w:sz w:val="20"/>
                <w:szCs w:val="20"/>
              </w:rPr>
              <w:t xml:space="preserve">medidas pertinentes, </w:t>
            </w:r>
            <w:r w:rsidRPr="00917A29">
              <w:rPr>
                <w:b/>
                <w:bCs/>
                <w:sz w:val="20"/>
                <w:szCs w:val="20"/>
              </w:rPr>
              <w:t>sob risco de vir a responder por eventual prejuízo causado ao erário</w:t>
            </w:r>
            <w:r w:rsidRPr="00917A29">
              <w:rPr>
                <w:sz w:val="20"/>
                <w:szCs w:val="20"/>
              </w:rPr>
              <w:t>.</w:t>
            </w:r>
          </w:p>
        </w:tc>
      </w:tr>
      <w:tr w:rsidR="00886C65" w:rsidRPr="00C1175A" w14:paraId="1FB8ECB6" w14:textId="77777777" w:rsidTr="00C1175A">
        <w:tc>
          <w:tcPr>
            <w:tcW w:w="425" w:type="dxa"/>
          </w:tcPr>
          <w:p w14:paraId="49259AD0" w14:textId="40B27AC0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11" w:type="dxa"/>
          </w:tcPr>
          <w:p w14:paraId="42B0F142" w14:textId="3BA07D9D" w:rsidR="00886C65" w:rsidRDefault="00886C65" w:rsidP="00886C65">
            <w:pPr>
              <w:pStyle w:val="PargrafodaLista"/>
              <w:ind w:left="0"/>
            </w:pPr>
            <w:hyperlink r:id="rId7" w:history="1">
              <w:r w:rsidRPr="00EA4F36">
                <w:rPr>
                  <w:rStyle w:val="Hyperlink"/>
                  <w:sz w:val="20"/>
                  <w:szCs w:val="20"/>
                </w:rPr>
                <w:t>Acórdão 1280/2025 Plenário</w:t>
              </w:r>
            </w:hyperlink>
            <w:r w:rsidR="00625999">
              <w:rPr>
                <w:sz w:val="20"/>
                <w:szCs w:val="20"/>
              </w:rPr>
              <w:t xml:space="preserve"> </w:t>
            </w:r>
            <w:r w:rsidRPr="00EA4F36">
              <w:rPr>
                <w:sz w:val="20"/>
                <w:szCs w:val="20"/>
              </w:rPr>
              <w:t>(Acesso indevido a informações sigilosas. Competitividade. Isonomia. Idoneidade. )</w:t>
            </w:r>
          </w:p>
        </w:tc>
        <w:tc>
          <w:tcPr>
            <w:tcW w:w="8221" w:type="dxa"/>
          </w:tcPr>
          <w:p w14:paraId="284C81D3" w14:textId="77777777" w:rsidR="00886C65" w:rsidRPr="0023479B" w:rsidRDefault="00886C65" w:rsidP="00886C65">
            <w:pPr>
              <w:jc w:val="both"/>
              <w:rPr>
                <w:sz w:val="20"/>
                <w:szCs w:val="20"/>
              </w:rPr>
            </w:pPr>
            <w:r w:rsidRPr="0023479B">
              <w:rPr>
                <w:sz w:val="20"/>
                <w:szCs w:val="20"/>
              </w:rPr>
              <w:t xml:space="preserve">A apresentação de propostas com preços unitários idênticos aos contidos no orçamento estimativo, não constante do edital, denota acesso indevido a informações sigilosas pelas licitantes, o que compromete a isonomia e a competitividade do certame, configurando fraude à licitação a justificar a aplicação da sanção de inidoneidade prevista no 46 da Lei 8.443/1992, </w:t>
            </w:r>
          </w:p>
          <w:p w14:paraId="192446B2" w14:textId="1A1D5665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23479B">
              <w:rPr>
                <w:sz w:val="20"/>
                <w:szCs w:val="20"/>
              </w:rPr>
              <w:t>independentemente de as empresas terem obtido vantagem direta ou vencido o processo licitatório.</w:t>
            </w:r>
          </w:p>
        </w:tc>
      </w:tr>
      <w:tr w:rsidR="00886C65" w:rsidRPr="00C1175A" w14:paraId="322FE962" w14:textId="77777777" w:rsidTr="00C1175A">
        <w:tc>
          <w:tcPr>
            <w:tcW w:w="425" w:type="dxa"/>
          </w:tcPr>
          <w:p w14:paraId="7985FFED" w14:textId="1A1C0034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11" w:type="dxa"/>
          </w:tcPr>
          <w:p w14:paraId="24B81C36" w14:textId="6BDC9FF8" w:rsidR="00886C65" w:rsidRDefault="00886C65" w:rsidP="00886C65">
            <w:pPr>
              <w:pStyle w:val="PargrafodaLista"/>
              <w:ind w:left="0"/>
            </w:pPr>
            <w:hyperlink r:id="rId8" w:history="1">
              <w:r w:rsidRPr="0023479B">
                <w:rPr>
                  <w:rStyle w:val="Hyperlink"/>
                  <w:sz w:val="20"/>
                  <w:szCs w:val="20"/>
                </w:rPr>
                <w:t>Acórdão 1268/2025</w:t>
              </w:r>
              <w:r>
                <w:rPr>
                  <w:rStyle w:val="Hyperlink"/>
                  <w:sz w:val="20"/>
                  <w:szCs w:val="20"/>
                </w:rPr>
                <w:t xml:space="preserve"> </w:t>
              </w:r>
              <w:r w:rsidRPr="0023479B">
                <w:rPr>
                  <w:rStyle w:val="Hyperlink"/>
                  <w:sz w:val="20"/>
                  <w:szCs w:val="20"/>
                </w:rPr>
                <w:t>Plenário</w:t>
              </w:r>
            </w:hyperlink>
            <w:r>
              <w:rPr>
                <w:sz w:val="20"/>
                <w:szCs w:val="20"/>
              </w:rPr>
              <w:t xml:space="preserve"> </w:t>
            </w:r>
            <w:r w:rsidR="006259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(Alvará de funcionamento. Alimentação. Vigilância Sanitária)</w:t>
            </w:r>
          </w:p>
        </w:tc>
        <w:tc>
          <w:tcPr>
            <w:tcW w:w="8221" w:type="dxa"/>
          </w:tcPr>
          <w:p w14:paraId="461F19DC" w14:textId="1E4432DD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7652C7">
              <w:rPr>
                <w:sz w:val="20"/>
                <w:szCs w:val="20"/>
              </w:rPr>
              <w:t xml:space="preserve">Em licitação cujo objeto é a prestação de serviços de alimentação, </w:t>
            </w:r>
            <w:r w:rsidRPr="0023479B">
              <w:rPr>
                <w:b/>
                <w:bCs/>
                <w:sz w:val="20"/>
                <w:szCs w:val="20"/>
              </w:rPr>
              <w:t>é regular a exigência, para fins de qualificação técnico-operacional, de que o licitante apresente alvará de funcionamento expedido pela Vigilância Sanitária</w:t>
            </w:r>
            <w:r w:rsidRPr="007652C7">
              <w:rPr>
                <w:sz w:val="20"/>
                <w:szCs w:val="20"/>
              </w:rPr>
              <w:t xml:space="preserve"> (art. 10 da Lei 6.437/1977 c/c art. 67, inciso IV, da Lei 14.133/2021).</w:t>
            </w:r>
          </w:p>
        </w:tc>
      </w:tr>
      <w:tr w:rsidR="00886C65" w:rsidRPr="00C1175A" w14:paraId="1FAD779C" w14:textId="77777777" w:rsidTr="00C1175A">
        <w:tc>
          <w:tcPr>
            <w:tcW w:w="425" w:type="dxa"/>
          </w:tcPr>
          <w:p w14:paraId="7F419433" w14:textId="3F40864F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11" w:type="dxa"/>
          </w:tcPr>
          <w:p w14:paraId="7F858A04" w14:textId="205D3777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9" w:anchor="/detalhamento/11/%252a/NUMACORDAO%253A1123%2520ANOACORDAO%253A2025%2520COLEGIADO%253A%2522Plen%25C3%25A1rio%2522/DTRELEVANCIA%2520desc/false/1" w:history="1">
              <w:r w:rsidRPr="00C1175A">
                <w:rPr>
                  <w:rStyle w:val="Hyperlink"/>
                  <w:b/>
                  <w:bCs/>
                  <w:sz w:val="20"/>
                  <w:szCs w:val="20"/>
                </w:rPr>
                <w:t>Acórdão TCU 1123/2025 Plenário</w:t>
              </w:r>
            </w:hyperlink>
            <w:r>
              <w:t xml:space="preserve"> </w:t>
            </w:r>
            <w:r w:rsidR="00625999">
              <w:t xml:space="preserve"> </w:t>
            </w:r>
            <w:r>
              <w:rPr>
                <w:sz w:val="20"/>
                <w:szCs w:val="20"/>
              </w:rPr>
              <w:t>(Valores estimados. Critério de julgamento de “melhor técnica” ou de “técnica e preço”. Aferição técnica. )</w:t>
            </w:r>
          </w:p>
        </w:tc>
        <w:tc>
          <w:tcPr>
            <w:tcW w:w="8221" w:type="dxa"/>
          </w:tcPr>
          <w:p w14:paraId="5597B750" w14:textId="77777777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Na contratação dos serviços técnicos especializados previstos no </w:t>
            </w:r>
            <w:hyperlink r:id="rId10" w:anchor="art6xxiii:~:text=XVIII%20%2D%20servi%C3%A7os%20t%C3%A9cnicos,defini%C3%A7%C3%A3o%20deste%20inciso%3B" w:history="1">
              <w:r w:rsidRPr="00C1175A">
                <w:rPr>
                  <w:rStyle w:val="Hyperlink"/>
                  <w:sz w:val="20"/>
                  <w:szCs w:val="20"/>
                </w:rPr>
                <w:t>art. 6º, inciso XVIII, alíneas ‘a’, ‘d’ e ‘h’</w:t>
              </w:r>
            </w:hyperlink>
            <w:r w:rsidRPr="00C1175A">
              <w:rPr>
                <w:sz w:val="20"/>
                <w:szCs w:val="20"/>
              </w:rPr>
              <w:t xml:space="preserve">, da Lei 14.133/2021 (projetos, fiscalizações e ensaios técnicos), com valores estimados superiores ao estabelecido no art. 37, § 2º, da referida lei, </w:t>
            </w:r>
            <w:r w:rsidRPr="00C1175A">
              <w:rPr>
                <w:b/>
                <w:bCs/>
                <w:sz w:val="20"/>
                <w:szCs w:val="20"/>
              </w:rPr>
              <w:t>deve ser adotado o critério de julgamento de “melhor técnica” ou de “técnica e preço”</w:t>
            </w:r>
            <w:r w:rsidRPr="00C1175A">
              <w:rPr>
                <w:sz w:val="20"/>
                <w:szCs w:val="20"/>
              </w:rPr>
              <w:t>, pois tais serviços possuem complexidade que exige aferição da técnica.</w:t>
            </w:r>
          </w:p>
          <w:p w14:paraId="38605BDE" w14:textId="77777777" w:rsidR="00886C65" w:rsidRPr="00C1175A" w:rsidRDefault="00886C65" w:rsidP="00886C65">
            <w:pPr>
              <w:pStyle w:val="PargrafodaLista"/>
              <w:jc w:val="both"/>
              <w:rPr>
                <w:sz w:val="20"/>
                <w:szCs w:val="20"/>
              </w:rPr>
            </w:pPr>
          </w:p>
          <w:p w14:paraId="63B12B63" w14:textId="77777777" w:rsidR="00886C65" w:rsidRPr="00C1175A" w:rsidRDefault="00886C65" w:rsidP="00886C65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ab/>
              <w:t>Art. 37, § 2º</w:t>
            </w:r>
          </w:p>
          <w:p w14:paraId="1EDA69B5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Art. 37. O julgamento por melhor técnica ou por técnica e preço deverá ser realizado por:</w:t>
            </w:r>
          </w:p>
          <w:p w14:paraId="3C15F815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 § 2º  Ressalvados os casos de inexigibilidade de licitação, na licitação para contratação dos serviços técnicos especializados de natureza predominantemente intelectual previstos nas alíneas “a”, “d” e “h” do inciso XVIII do </w:t>
            </w:r>
            <w:r w:rsidRPr="00C1175A">
              <w:rPr>
                <w:b/>
                <w:bCs/>
                <w:sz w:val="20"/>
                <w:szCs w:val="20"/>
              </w:rPr>
              <w:t>caput</w:t>
            </w:r>
            <w:r w:rsidRPr="00C1175A">
              <w:rPr>
                <w:sz w:val="20"/>
                <w:szCs w:val="20"/>
              </w:rPr>
              <w:t xml:space="preserve"> do art. 6º desta Lei cujo valor estimado da contratação seja superior a R$ 300.000,00 (trezentos mil reais), o julgamento será por: </w:t>
            </w:r>
            <w:hyperlink r:id="rId11" w:history="1">
              <w:r w:rsidRPr="00C1175A">
                <w:rPr>
                  <w:rStyle w:val="Hyperlink"/>
                  <w:sz w:val="20"/>
                  <w:szCs w:val="20"/>
                </w:rPr>
                <w:t>(Vide Decreto nº 12.343, de 2024)</w:t>
              </w:r>
            </w:hyperlink>
            <w:r w:rsidRPr="00C1175A">
              <w:rPr>
                <w:sz w:val="20"/>
                <w:szCs w:val="20"/>
              </w:rPr>
              <w:t>    </w:t>
            </w:r>
            <w:hyperlink r:id="rId12" w:anchor="art4:~:text=Art.%2037%2C%20%C2%A7%202%C2%BA,e%20oito%20centavos" w:history="1">
              <w:r w:rsidRPr="00C1175A">
                <w:rPr>
                  <w:rStyle w:val="Hyperlink"/>
                  <w:sz w:val="20"/>
                  <w:szCs w:val="20"/>
                </w:rPr>
                <w:t>Valor atual em 2025</w:t>
              </w:r>
            </w:hyperlink>
          </w:p>
          <w:p w14:paraId="31DB015E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I - </w:t>
            </w:r>
            <w:proofErr w:type="gramStart"/>
            <w:r w:rsidRPr="00C1175A">
              <w:rPr>
                <w:sz w:val="20"/>
                <w:szCs w:val="20"/>
              </w:rPr>
              <w:t>melhor</w:t>
            </w:r>
            <w:proofErr w:type="gramEnd"/>
            <w:r w:rsidRPr="00C1175A">
              <w:rPr>
                <w:sz w:val="20"/>
                <w:szCs w:val="20"/>
              </w:rPr>
              <w:t xml:space="preserve"> técnica; ou</w:t>
            </w:r>
          </w:p>
          <w:p w14:paraId="39D02E6B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II - </w:t>
            </w:r>
            <w:proofErr w:type="gramStart"/>
            <w:r w:rsidRPr="00C1175A">
              <w:rPr>
                <w:sz w:val="20"/>
                <w:szCs w:val="20"/>
              </w:rPr>
              <w:t>técnica</w:t>
            </w:r>
            <w:proofErr w:type="gramEnd"/>
            <w:r w:rsidRPr="00C1175A">
              <w:rPr>
                <w:sz w:val="20"/>
                <w:szCs w:val="20"/>
              </w:rPr>
              <w:t xml:space="preserve"> e preço, na </w:t>
            </w:r>
            <w:r w:rsidRPr="00C1175A">
              <w:rPr>
                <w:b/>
                <w:bCs/>
                <w:sz w:val="20"/>
                <w:szCs w:val="20"/>
              </w:rPr>
              <w:t>proporção de 70% (setenta por cento)</w:t>
            </w:r>
            <w:r w:rsidRPr="00C1175A">
              <w:rPr>
                <w:sz w:val="20"/>
                <w:szCs w:val="20"/>
              </w:rPr>
              <w:t xml:space="preserve"> de valoração da proposta técnica.</w:t>
            </w:r>
          </w:p>
          <w:p w14:paraId="02918C5A" w14:textId="77777777" w:rsidR="00886C65" w:rsidRPr="00C1175A" w:rsidRDefault="00886C65" w:rsidP="00886C65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  <w:p w14:paraId="24C20521" w14:textId="77777777" w:rsidR="00886C65" w:rsidRPr="00C1175A" w:rsidRDefault="00886C65" w:rsidP="00886C65">
            <w:pPr>
              <w:pStyle w:val="PargrafodaLista"/>
              <w:ind w:left="0" w:firstLine="696"/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Art. 6º, inciso XVIII, alíneas ‘a’, ‘b’ e ‘h’</w:t>
            </w:r>
          </w:p>
          <w:p w14:paraId="424B91D1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XVIII - serviços técnicos especializados de natureza predominantemente intelectual: aqueles realizados em trabalhos relativos a:</w:t>
            </w:r>
          </w:p>
          <w:p w14:paraId="6825CCB3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a) estudos técnicos, planejamentos, projetos básicos e projetos executivos;</w:t>
            </w:r>
          </w:p>
          <w:p w14:paraId="0D2ADDB3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</w:t>
            </w:r>
          </w:p>
          <w:p w14:paraId="4087DA5E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d) fiscalização, supervisão e gerenciamento de obras e serviços;</w:t>
            </w:r>
          </w:p>
          <w:p w14:paraId="36D126C9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</w:t>
            </w:r>
          </w:p>
          <w:p w14:paraId="410CB5F6" w14:textId="10C9B04F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h) controles de qualidade e tecnológico, análises, testes e ensaios de campo e laboratoriais, instrumentação e monitoramento de parâmetros específicos de obras e do meio ambiente e demais serviços de engenharia que se enquadrem na definição deste inciso.</w:t>
            </w:r>
          </w:p>
        </w:tc>
      </w:tr>
      <w:tr w:rsidR="00886C65" w:rsidRPr="00C1175A" w14:paraId="29EFE58C" w14:textId="77777777" w:rsidTr="00C1175A">
        <w:tc>
          <w:tcPr>
            <w:tcW w:w="425" w:type="dxa"/>
          </w:tcPr>
          <w:p w14:paraId="4DBE2DA9" w14:textId="296D601D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11" w:type="dxa"/>
          </w:tcPr>
          <w:p w14:paraId="13EA8689" w14:textId="192CB75A" w:rsidR="00886C65" w:rsidRDefault="00886C65" w:rsidP="00886C65">
            <w:pPr>
              <w:pStyle w:val="PargrafodaLista"/>
              <w:ind w:left="0"/>
            </w:pPr>
            <w:hyperlink r:id="rId13" w:anchor="/detalhamento/11/%252a/NUMACORDAO%253A1100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1100/2025 Plenário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>(Cota principal. Cota reservada. Ajuste de preços de itens individualmente. Equilíbrio econômico-financeiro.)</w:t>
            </w:r>
          </w:p>
        </w:tc>
        <w:tc>
          <w:tcPr>
            <w:tcW w:w="8221" w:type="dxa"/>
          </w:tcPr>
          <w:p w14:paraId="2737FCF4" w14:textId="6382B91B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b/>
                <w:bCs/>
                <w:sz w:val="20"/>
                <w:szCs w:val="20"/>
              </w:rPr>
              <w:t>Quando a mesma microempresa ou empresa de pequeno porte for vencedora da cota principal e da cota reservada</w:t>
            </w:r>
            <w:r w:rsidRPr="00C1175A">
              <w:rPr>
                <w:sz w:val="20"/>
                <w:szCs w:val="20"/>
              </w:rPr>
              <w:t xml:space="preserve"> (</w:t>
            </w:r>
            <w:hyperlink r:id="rId14" w:anchor=":~:text=III%20%2D%20dever%C3%A1%20estabelecer%2C%20em%20certames%20para%20aquisi%C3%A7%C3%A3o%20de%20bens%20de%20natureza%20divis%C3%ADvel%2C%20cota%20de%20at%C3%A9%2025%25%20(vinte%20e%20cinco%20por%20cento)%20do%20objeto%20para%20a%20contrata%C3%A7%C3%A3o%20de%20microempresas%20e%20empresas%20de%20pequeno%20porte." w:history="1">
              <w:r w:rsidRPr="00C1175A">
                <w:rPr>
                  <w:rStyle w:val="Hyperlink"/>
                  <w:sz w:val="20"/>
                  <w:szCs w:val="20"/>
                </w:rPr>
                <w:t>art. 48, inciso III, da LC 123/2006</w:t>
              </w:r>
            </w:hyperlink>
            <w:r w:rsidRPr="00C1175A">
              <w:rPr>
                <w:sz w:val="20"/>
                <w:szCs w:val="20"/>
              </w:rPr>
              <w:t xml:space="preserve">), </w:t>
            </w:r>
            <w:r w:rsidRPr="00C1175A">
              <w:rPr>
                <w:b/>
                <w:bCs/>
                <w:sz w:val="20"/>
                <w:szCs w:val="20"/>
              </w:rPr>
              <w:t>é irregular a exigência de que ela ajuste os preços dos itens individualmente nos dois grupos, adotando o menor valor apresentado</w:t>
            </w:r>
            <w:r w:rsidRPr="00C1175A">
              <w:rPr>
                <w:sz w:val="20"/>
                <w:szCs w:val="20"/>
              </w:rPr>
              <w:t xml:space="preserve"> </w:t>
            </w:r>
            <w:r w:rsidRPr="00C1175A">
              <w:rPr>
                <w:b/>
                <w:bCs/>
                <w:sz w:val="20"/>
                <w:szCs w:val="20"/>
              </w:rPr>
              <w:t>para cada item</w:t>
            </w:r>
            <w:r w:rsidRPr="00C1175A">
              <w:rPr>
                <w:sz w:val="20"/>
                <w:szCs w:val="20"/>
              </w:rPr>
              <w:t xml:space="preserve">, </w:t>
            </w:r>
            <w:r w:rsidRPr="00C1175A">
              <w:rPr>
                <w:b/>
                <w:bCs/>
                <w:sz w:val="20"/>
                <w:szCs w:val="20"/>
              </w:rPr>
              <w:t>independentemente do grupo em que o menor preço tenha sido ofertado</w:t>
            </w:r>
            <w:r w:rsidRPr="00C1175A">
              <w:rPr>
                <w:sz w:val="20"/>
                <w:szCs w:val="20"/>
              </w:rPr>
              <w:t xml:space="preserve">, por </w:t>
            </w:r>
            <w:r w:rsidRPr="00C1175A">
              <w:rPr>
                <w:b/>
                <w:bCs/>
                <w:sz w:val="20"/>
                <w:szCs w:val="20"/>
              </w:rPr>
              <w:t>afrontar</w:t>
            </w:r>
            <w:r w:rsidRPr="00C1175A">
              <w:rPr>
                <w:sz w:val="20"/>
                <w:szCs w:val="20"/>
              </w:rPr>
              <w:t xml:space="preserve"> o </w:t>
            </w:r>
            <w:hyperlink r:id="rId15" w:anchor=":~:text=%C2%A7%203%C2%BA%20Se%20a%20mesma%20empresa%20vencer%20a%20cota%20reservada%20e%20a%20cota%20principal%2C%20a%20contrata%C3%A7%C3%A3o%20das%20cotas%20dever%C3%A1%20ocorrer%20pelo%20menor%20pre%C3%A7o." w:history="1">
              <w:r w:rsidRPr="00C1175A">
                <w:rPr>
                  <w:rStyle w:val="Hyperlink"/>
                  <w:sz w:val="20"/>
                  <w:szCs w:val="20"/>
                </w:rPr>
                <w:t>art. 8º, § 3º, do Decreto 8.538/2015</w:t>
              </w:r>
            </w:hyperlink>
            <w:r w:rsidRPr="00C1175A">
              <w:rPr>
                <w:sz w:val="20"/>
                <w:szCs w:val="20"/>
              </w:rPr>
              <w:t xml:space="preserve"> e </w:t>
            </w:r>
            <w:r w:rsidRPr="00C1175A">
              <w:rPr>
                <w:b/>
                <w:bCs/>
                <w:sz w:val="20"/>
                <w:szCs w:val="20"/>
              </w:rPr>
              <w:t>violar o princípio do equilíbrio econômico-financeiro da proposta</w:t>
            </w:r>
            <w:r w:rsidRPr="00C1175A">
              <w:rPr>
                <w:sz w:val="20"/>
                <w:szCs w:val="20"/>
              </w:rPr>
              <w:t xml:space="preserve">, implícito no </w:t>
            </w:r>
            <w:hyperlink r:id="rId16" w:anchor=":~:text=XXI%20%2D%20ressalvados%20os,cumprimento%20das%20obriga%C3%A7%C3%B5es." w:history="1">
              <w:r w:rsidRPr="00C1175A">
                <w:rPr>
                  <w:rStyle w:val="Hyperlink"/>
                  <w:sz w:val="20"/>
                  <w:szCs w:val="20"/>
                </w:rPr>
                <w:t>art. 37, inciso XXI, da Constituição Federal</w:t>
              </w:r>
            </w:hyperlink>
            <w:r w:rsidRPr="00C1175A">
              <w:rPr>
                <w:sz w:val="20"/>
                <w:szCs w:val="20"/>
              </w:rPr>
              <w:t>, que exige respeito às condições ofertadas pelo licitante.</w:t>
            </w:r>
          </w:p>
        </w:tc>
      </w:tr>
      <w:tr w:rsidR="00886C65" w:rsidRPr="00C1175A" w14:paraId="3D497678" w14:textId="77777777" w:rsidTr="00C1175A">
        <w:tc>
          <w:tcPr>
            <w:tcW w:w="425" w:type="dxa"/>
          </w:tcPr>
          <w:p w14:paraId="78FDC26C" w14:textId="640D0316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11" w:type="dxa"/>
          </w:tcPr>
          <w:p w14:paraId="3A189C7A" w14:textId="420C1E45" w:rsidR="00886C65" w:rsidRDefault="00886C65" w:rsidP="00886C65">
            <w:pPr>
              <w:pStyle w:val="PargrafodaLista"/>
              <w:ind w:left="0"/>
            </w:pPr>
            <w:hyperlink r:id="rId17" w:anchor="/detalhamento/11/%252a/NUMACORDAO%253A1091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1091/2025 Plenário</w:t>
              </w:r>
            </w:hyperlink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</w:r>
            <w:r>
              <w:rPr>
                <w:sz w:val="20"/>
                <w:szCs w:val="20"/>
              </w:rPr>
              <w:t>(Certificação ISO. Demonstração de capacidade técnica. Capacidade operacional.)</w:t>
            </w:r>
          </w:p>
        </w:tc>
        <w:tc>
          <w:tcPr>
            <w:tcW w:w="8221" w:type="dxa"/>
          </w:tcPr>
          <w:p w14:paraId="5D37B5E2" w14:textId="65F216AE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É regular a exigência de certificação ISO para habilitação de licitante, com base no </w:t>
            </w:r>
            <w:hyperlink r:id="rId18" w:anchor=":~:text=%C2%A7%206%C2%BA%20A%20Administra%C3%A7%C3%A3o,fins%20de%20habilita%C3%A7%C3%A3o." w:history="1">
              <w:r w:rsidRPr="00C1175A">
                <w:rPr>
                  <w:rStyle w:val="Hyperlink"/>
                  <w:sz w:val="20"/>
                  <w:szCs w:val="20"/>
                </w:rPr>
                <w:t>art. 17, § 6º, inciso III, da Lei 14.133/2021</w:t>
              </w:r>
            </w:hyperlink>
            <w:r w:rsidRPr="00C1175A">
              <w:rPr>
                <w:sz w:val="20"/>
                <w:szCs w:val="20"/>
              </w:rPr>
              <w:t xml:space="preserve">. A exigência de certificação em relação a “material” e “corpo técnico”, referenciados no aludido dispositivo legal, </w:t>
            </w:r>
            <w:r w:rsidRPr="00C1175A">
              <w:rPr>
                <w:b/>
                <w:bCs/>
                <w:sz w:val="20"/>
                <w:szCs w:val="20"/>
              </w:rPr>
              <w:t>pode ser entendida como a demonstração da capacidade técnica do quadro de pessoal integrada com a experiência organizacional da empresa e seus meios de produção, ou seja, a sua própria capacidade operacional</w:t>
            </w:r>
            <w:r w:rsidRPr="00C1175A">
              <w:rPr>
                <w:sz w:val="20"/>
                <w:szCs w:val="20"/>
              </w:rPr>
              <w:t xml:space="preserve"> (</w:t>
            </w:r>
            <w:hyperlink r:id="rId19" w:anchor=":~:text=Art.%2067.%20A,objeto%20da%20licita%C3%A7%C3%A3o." w:history="1">
              <w:r w:rsidRPr="00C1175A">
                <w:rPr>
                  <w:rStyle w:val="Hyperlink"/>
                  <w:sz w:val="20"/>
                  <w:szCs w:val="20"/>
                </w:rPr>
                <w:t>art. 67, caput e inciso III, da Lei 14.133/2021</w:t>
              </w:r>
            </w:hyperlink>
            <w:r w:rsidRPr="00C1175A">
              <w:rPr>
                <w:sz w:val="20"/>
                <w:szCs w:val="20"/>
              </w:rPr>
              <w:t>).</w:t>
            </w:r>
          </w:p>
        </w:tc>
      </w:tr>
      <w:tr w:rsidR="00886C65" w:rsidRPr="00C1175A" w14:paraId="01DE6FB7" w14:textId="77777777" w:rsidTr="00C1175A">
        <w:tc>
          <w:tcPr>
            <w:tcW w:w="425" w:type="dxa"/>
          </w:tcPr>
          <w:p w14:paraId="5D3D3C40" w14:textId="402C788E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2411" w:type="dxa"/>
          </w:tcPr>
          <w:p w14:paraId="113D5957" w14:textId="61158A7D" w:rsidR="00886C65" w:rsidRDefault="00886C65" w:rsidP="00886C65">
            <w:pPr>
              <w:pStyle w:val="PargrafodaLista"/>
              <w:ind w:left="0"/>
            </w:pPr>
            <w:hyperlink r:id="rId20" w:anchor="/detalhamento/11/%252a/NUMACORDAO%253A1087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1087/2025 Plenário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>(Qualificação econômico-financeira. Serviços continuados. Preço estimado da contratação. Restrição à competitividade. Direcionamento do certame)</w:t>
            </w:r>
          </w:p>
        </w:tc>
        <w:tc>
          <w:tcPr>
            <w:tcW w:w="8221" w:type="dxa"/>
          </w:tcPr>
          <w:p w14:paraId="79991C45" w14:textId="126EC4E4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Para efeitos de qualificação econômico-financeira </w:t>
            </w:r>
            <w:r w:rsidRPr="00C1175A">
              <w:rPr>
                <w:b/>
                <w:bCs/>
                <w:sz w:val="20"/>
                <w:szCs w:val="20"/>
              </w:rPr>
              <w:t>em licitação de serviços continuados, o índice de 16,66% do Capital Circulante Líquido ou Capital de Giro</w:t>
            </w:r>
            <w:r w:rsidRPr="00C1175A">
              <w:rPr>
                <w:sz w:val="20"/>
                <w:szCs w:val="20"/>
              </w:rPr>
              <w:t xml:space="preserve">, previsto no </w:t>
            </w:r>
            <w:hyperlink r:id="rId21" w:anchor=":~:text=b)%20Capital%20Circulante%20L%C3%ADquido%20ou%20Capital%20de%20Giro%20(Ativo%20Circulante%20%2D%20Passivo%20Circulante)%20de%2C%20no%20m%C3%ADnimo%2C%2016%2C66%25%20(dezesseis%20inteiros%20e%20sessenta%20e%20seis%20cent%C3%A9simos%20por%20cento)%20do%20valor%20estimado%20da%20contrata%C3%A7%C3%A3o%2C%20tendo%20por%20base%20o%20balan%C3%A7o%20patrimonial%20e%20as%20demonstra%C3%A7%C3%B5es%20cont%C3%A1beis%20do%20%C3%BAltimo%20exerc%C3%ADcio%20social%3B" w:history="1">
              <w:r w:rsidRPr="00C1175A">
                <w:rPr>
                  <w:rStyle w:val="Hyperlink"/>
                  <w:sz w:val="20"/>
                  <w:szCs w:val="20"/>
                </w:rPr>
                <w:t>Anexo VII-A, item 11.1.b</w:t>
              </w:r>
            </w:hyperlink>
            <w:r w:rsidRPr="00C1175A">
              <w:rPr>
                <w:sz w:val="20"/>
                <w:szCs w:val="20"/>
              </w:rPr>
              <w:t xml:space="preserve">, da IN Seges-MPDG 5/2017 (aplicada no âmbito da Lei 14.133/2021 por força do art. 1º da IN </w:t>
            </w:r>
            <w:proofErr w:type="spellStart"/>
            <w:r w:rsidRPr="00C1175A">
              <w:rPr>
                <w:sz w:val="20"/>
                <w:szCs w:val="20"/>
              </w:rPr>
              <w:t>Seges-ME</w:t>
            </w:r>
            <w:proofErr w:type="spellEnd"/>
            <w:r w:rsidRPr="00C1175A">
              <w:rPr>
                <w:sz w:val="20"/>
                <w:szCs w:val="20"/>
              </w:rPr>
              <w:t xml:space="preserve"> 98/2022), </w:t>
            </w:r>
            <w:r w:rsidRPr="00C1175A">
              <w:rPr>
                <w:b/>
                <w:bCs/>
                <w:sz w:val="20"/>
                <w:szCs w:val="20"/>
              </w:rPr>
              <w:t>deve ser apurado em função do preço estimado da contratação para o período de doze meses, independentemente da duração do contrato, sob o risco de restrição à competitividade e direcionamento do certame</w:t>
            </w:r>
            <w:r w:rsidRPr="00C1175A">
              <w:rPr>
                <w:sz w:val="20"/>
                <w:szCs w:val="20"/>
              </w:rPr>
              <w:t>.</w:t>
            </w:r>
          </w:p>
        </w:tc>
      </w:tr>
      <w:tr w:rsidR="00886C65" w:rsidRPr="00C1175A" w14:paraId="6FC67B03" w14:textId="77777777" w:rsidTr="00C1175A">
        <w:tc>
          <w:tcPr>
            <w:tcW w:w="425" w:type="dxa"/>
          </w:tcPr>
          <w:p w14:paraId="41576FFA" w14:textId="45394FCC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11" w:type="dxa"/>
          </w:tcPr>
          <w:p w14:paraId="5CD25BF5" w14:textId="0CBF1292" w:rsidR="00886C65" w:rsidRPr="00C27DA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22" w:anchor="/detalhamento/11/%252a/NUMACORDAO%253A1084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1084/2025 Plenário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>(Superfaturamento. Responsabilização solidária.)</w:t>
            </w:r>
          </w:p>
        </w:tc>
        <w:tc>
          <w:tcPr>
            <w:tcW w:w="8221" w:type="dxa"/>
          </w:tcPr>
          <w:p w14:paraId="0D1EC05E" w14:textId="7D6B9A84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As empresas que oferecem propostas com valores acima dos praticados pelo mercado, tirando proveito de orçamentos superestimados elaborados pelos órgãos e entes públicos contratantes, </w:t>
            </w:r>
            <w:r w:rsidRPr="00C1175A">
              <w:rPr>
                <w:b/>
                <w:bCs/>
                <w:sz w:val="20"/>
                <w:szCs w:val="20"/>
              </w:rPr>
              <w:t>contribuem para o superfaturamento dos serviços, sujeitando-se à responsabilização solidária pelo dano evidenciado</w:t>
            </w:r>
            <w:r w:rsidRPr="00C1175A">
              <w:rPr>
                <w:sz w:val="20"/>
                <w:szCs w:val="20"/>
              </w:rPr>
              <w:t>.</w:t>
            </w:r>
          </w:p>
        </w:tc>
      </w:tr>
    </w:tbl>
    <w:p w14:paraId="34815F99" w14:textId="07BB4AC6" w:rsidR="00C1175A" w:rsidRDefault="00C1175A" w:rsidP="002D6486">
      <w:pPr>
        <w:pStyle w:val="PargrafodaLista"/>
        <w:jc w:val="both"/>
        <w:rPr>
          <w:sz w:val="20"/>
          <w:szCs w:val="20"/>
        </w:rPr>
      </w:pPr>
    </w:p>
    <w:p w14:paraId="37304B4C" w14:textId="77777777" w:rsidR="00C1175A" w:rsidRDefault="00C1175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acomgrade"/>
        <w:tblW w:w="6509" w:type="pct"/>
        <w:tblInd w:w="-1281" w:type="dxa"/>
        <w:tblLook w:val="04A0" w:firstRow="1" w:lastRow="0" w:firstColumn="1" w:lastColumn="0" w:noHBand="0" w:noVBand="1"/>
        <w:tblCaption w:val="Jurisprudências"/>
      </w:tblPr>
      <w:tblGrid>
        <w:gridCol w:w="425"/>
        <w:gridCol w:w="2410"/>
        <w:gridCol w:w="8222"/>
      </w:tblGrid>
      <w:tr w:rsidR="00656517" w:rsidRPr="00C1175A" w14:paraId="7D4BA422" w14:textId="77777777" w:rsidTr="00C1175A">
        <w:tc>
          <w:tcPr>
            <w:tcW w:w="5000" w:type="pct"/>
            <w:gridSpan w:val="3"/>
          </w:tcPr>
          <w:p w14:paraId="7CE1CB92" w14:textId="417D1272" w:rsidR="00656517" w:rsidRPr="00886C65" w:rsidRDefault="00A414BA" w:rsidP="00886C6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Súmulas </w:t>
            </w:r>
            <w:r w:rsidR="00886C65" w:rsidRPr="00886C65">
              <w:rPr>
                <w:b/>
                <w:bCs/>
                <w:sz w:val="20"/>
                <w:szCs w:val="20"/>
              </w:rPr>
              <w:t>TCDF</w:t>
            </w:r>
          </w:p>
        </w:tc>
      </w:tr>
      <w:tr w:rsidR="00656517" w:rsidRPr="00C1175A" w14:paraId="7D1B743C" w14:textId="77777777" w:rsidTr="00C1175A">
        <w:tc>
          <w:tcPr>
            <w:tcW w:w="192" w:type="pct"/>
          </w:tcPr>
          <w:p w14:paraId="56E2B530" w14:textId="02D5BEC5" w:rsidR="00656517" w:rsidRPr="00C1175A" w:rsidRDefault="00886C65" w:rsidP="00D6794A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90" w:type="pct"/>
          </w:tcPr>
          <w:p w14:paraId="6F797D36" w14:textId="77777777" w:rsidR="00656517" w:rsidRDefault="000D54A8" w:rsidP="000D54A8">
            <w:pPr>
              <w:rPr>
                <w:sz w:val="20"/>
                <w:szCs w:val="20"/>
              </w:rPr>
            </w:pPr>
            <w:hyperlink r:id="rId23" w:history="1">
              <w:r w:rsidRPr="000D54A8">
                <w:rPr>
                  <w:rStyle w:val="Hyperlink"/>
                  <w:sz w:val="20"/>
                  <w:szCs w:val="20"/>
                </w:rPr>
                <w:t>Súmula nº 69/1999</w:t>
              </w:r>
            </w:hyperlink>
          </w:p>
          <w:p w14:paraId="3233C16C" w14:textId="77777777" w:rsidR="000D54A8" w:rsidRDefault="000D54A8" w:rsidP="000D54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Atualizada em decorrência da Lei 14.133/2021</w:t>
            </w:r>
          </w:p>
          <w:p w14:paraId="59E4B58B" w14:textId="157E9E6F" w:rsidR="000D54A8" w:rsidRPr="000D54A8" w:rsidRDefault="000D54A8" w:rsidP="000D54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(Inexigibilidade. Serviços não especificados. Inviabilidade de competição. Comprovação.)</w:t>
            </w:r>
          </w:p>
        </w:tc>
        <w:tc>
          <w:tcPr>
            <w:tcW w:w="3718" w:type="pct"/>
          </w:tcPr>
          <w:p w14:paraId="2267A46B" w14:textId="0C34CAC0" w:rsidR="00656517" w:rsidRPr="00C1175A" w:rsidRDefault="00A414BA" w:rsidP="000D54A8">
            <w:pPr>
              <w:jc w:val="both"/>
              <w:rPr>
                <w:sz w:val="20"/>
                <w:szCs w:val="20"/>
              </w:rPr>
            </w:pPr>
            <w:r w:rsidRPr="00A414BA">
              <w:rPr>
                <w:sz w:val="20"/>
                <w:szCs w:val="20"/>
              </w:rPr>
              <w:t>É admissível a inexigibilidade de licitação, com base no art. 74 da Lei nº 14.133/21, para a contratação de serviços não especificados nos</w:t>
            </w:r>
            <w:r>
              <w:rPr>
                <w:sz w:val="20"/>
                <w:szCs w:val="20"/>
              </w:rPr>
              <w:t xml:space="preserve"> </w:t>
            </w:r>
            <w:r w:rsidRPr="00A414BA">
              <w:rPr>
                <w:sz w:val="20"/>
                <w:szCs w:val="20"/>
              </w:rPr>
              <w:t xml:space="preserve">seus incisos, quando houver inviabilidade de competição, cuja </w:t>
            </w:r>
            <w:r w:rsidRPr="000D54A8">
              <w:rPr>
                <w:b/>
                <w:bCs/>
                <w:sz w:val="20"/>
                <w:szCs w:val="20"/>
              </w:rPr>
              <w:t>exclusividade deve ser comprovada mediante atestado</w:t>
            </w:r>
            <w:r w:rsidRPr="00A414BA">
              <w:rPr>
                <w:sz w:val="20"/>
                <w:szCs w:val="20"/>
              </w:rPr>
              <w:t xml:space="preserve"> expedido pelo órgão de registro do comércio local ou sindicato, federação ou confederação patronal ou, ainda, entidades</w:t>
            </w:r>
            <w:r w:rsidR="000D54A8">
              <w:rPr>
                <w:sz w:val="20"/>
                <w:szCs w:val="20"/>
              </w:rPr>
              <w:t xml:space="preserve"> </w:t>
            </w:r>
            <w:r w:rsidRPr="00A414BA">
              <w:rPr>
                <w:sz w:val="20"/>
                <w:szCs w:val="20"/>
              </w:rPr>
              <w:t>equivalentes. (Atualizada em decorrência da Lei nº 14.133/21)</w:t>
            </w:r>
          </w:p>
        </w:tc>
      </w:tr>
      <w:tr w:rsidR="00656517" w:rsidRPr="00C1175A" w14:paraId="2FA34656" w14:textId="77777777" w:rsidTr="00C1175A">
        <w:tc>
          <w:tcPr>
            <w:tcW w:w="192" w:type="pct"/>
          </w:tcPr>
          <w:p w14:paraId="0DDC0EE2" w14:textId="4E6EF13D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21471A0F" w14:textId="08C02598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3FBF7975" w14:textId="3BB77995" w:rsidR="00656517" w:rsidRPr="00C1175A" w:rsidRDefault="00656517" w:rsidP="00D6794A">
            <w:pPr>
              <w:jc w:val="both"/>
              <w:rPr>
                <w:sz w:val="20"/>
                <w:szCs w:val="20"/>
              </w:rPr>
            </w:pPr>
          </w:p>
        </w:tc>
      </w:tr>
      <w:tr w:rsidR="00656517" w:rsidRPr="00C1175A" w14:paraId="1177924B" w14:textId="77777777" w:rsidTr="00C1175A">
        <w:tc>
          <w:tcPr>
            <w:tcW w:w="192" w:type="pct"/>
          </w:tcPr>
          <w:p w14:paraId="2DC4F50B" w14:textId="16401516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25CE1A00" w14:textId="0316A18B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6EC833C9" w14:textId="112993C5" w:rsidR="00656517" w:rsidRPr="00C1175A" w:rsidRDefault="00656517" w:rsidP="00D6794A">
            <w:pPr>
              <w:jc w:val="both"/>
              <w:rPr>
                <w:sz w:val="20"/>
                <w:szCs w:val="20"/>
              </w:rPr>
            </w:pPr>
          </w:p>
        </w:tc>
      </w:tr>
      <w:tr w:rsidR="00656517" w:rsidRPr="00C1175A" w14:paraId="555616AB" w14:textId="77777777" w:rsidTr="00C1175A">
        <w:tc>
          <w:tcPr>
            <w:tcW w:w="192" w:type="pct"/>
          </w:tcPr>
          <w:p w14:paraId="38A570DD" w14:textId="5714B05B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33340CDB" w14:textId="41AE4EE0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6EDDFD94" w14:textId="33759A54" w:rsidR="00656517" w:rsidRPr="00C1175A" w:rsidRDefault="00656517" w:rsidP="00D6794A">
            <w:pPr>
              <w:jc w:val="both"/>
              <w:rPr>
                <w:sz w:val="20"/>
                <w:szCs w:val="20"/>
              </w:rPr>
            </w:pPr>
          </w:p>
        </w:tc>
      </w:tr>
    </w:tbl>
    <w:p w14:paraId="13BC406F" w14:textId="77777777" w:rsidR="008233DB" w:rsidRPr="00C1175A" w:rsidRDefault="008233DB" w:rsidP="008233DB">
      <w:pPr>
        <w:pStyle w:val="PargrafodaLista"/>
        <w:jc w:val="both"/>
        <w:rPr>
          <w:sz w:val="20"/>
          <w:szCs w:val="20"/>
        </w:rPr>
      </w:pPr>
    </w:p>
    <w:sectPr w:rsidR="008233DB" w:rsidRPr="00C1175A" w:rsidSect="00C1175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2AF"/>
    <w:multiLevelType w:val="hybridMultilevel"/>
    <w:tmpl w:val="7968E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53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DB"/>
    <w:rsid w:val="00034E46"/>
    <w:rsid w:val="000825C0"/>
    <w:rsid w:val="000C6DD9"/>
    <w:rsid w:val="000D54A8"/>
    <w:rsid w:val="001B54CF"/>
    <w:rsid w:val="001F3CAC"/>
    <w:rsid w:val="001F6003"/>
    <w:rsid w:val="0023479B"/>
    <w:rsid w:val="002358F4"/>
    <w:rsid w:val="00293FA1"/>
    <w:rsid w:val="002D6486"/>
    <w:rsid w:val="00311521"/>
    <w:rsid w:val="00596615"/>
    <w:rsid w:val="005D20B1"/>
    <w:rsid w:val="00625999"/>
    <w:rsid w:val="00643A78"/>
    <w:rsid w:val="00656517"/>
    <w:rsid w:val="006C4D7F"/>
    <w:rsid w:val="007652C7"/>
    <w:rsid w:val="007828AC"/>
    <w:rsid w:val="007A54ED"/>
    <w:rsid w:val="007B7D16"/>
    <w:rsid w:val="007D31C1"/>
    <w:rsid w:val="008233DB"/>
    <w:rsid w:val="00886C65"/>
    <w:rsid w:val="008B69D4"/>
    <w:rsid w:val="008F78D0"/>
    <w:rsid w:val="00917A29"/>
    <w:rsid w:val="009C2598"/>
    <w:rsid w:val="00A414BA"/>
    <w:rsid w:val="00C1175A"/>
    <w:rsid w:val="00C27DAB"/>
    <w:rsid w:val="00C804C1"/>
    <w:rsid w:val="00CB4E28"/>
    <w:rsid w:val="00D7661B"/>
    <w:rsid w:val="00D816A3"/>
    <w:rsid w:val="00D97CA7"/>
    <w:rsid w:val="00EA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D608"/>
  <w15:chartTrackingRefBased/>
  <w15:docId w15:val="{B2EE81FC-EDDB-4E6D-968E-91236B6F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3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3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33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33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33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33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33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33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33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33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33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33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33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33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33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33DB"/>
    <w:rPr>
      <w:rFonts w:ascii="Times New Roman" w:hAnsi="Times New Roman" w:cs="Times New Roman"/>
    </w:rPr>
  </w:style>
  <w:style w:type="paragraph" w:customStyle="1" w:styleId="CitaoLegislao">
    <w:name w:val="Citação Legislação"/>
    <w:basedOn w:val="Normal"/>
    <w:link w:val="CitaoLegislaoChar"/>
    <w:qFormat/>
    <w:rsid w:val="008233DB"/>
    <w:pPr>
      <w:ind w:left="2124"/>
      <w:jc w:val="both"/>
    </w:pPr>
    <w:rPr>
      <w:sz w:val="18"/>
      <w:szCs w:val="18"/>
    </w:rPr>
  </w:style>
  <w:style w:type="character" w:customStyle="1" w:styleId="CitaoLegislaoChar">
    <w:name w:val="Citação Legislação Char"/>
    <w:basedOn w:val="Fontepargpadro"/>
    <w:link w:val="CitaoLegislao"/>
    <w:rsid w:val="008233DB"/>
    <w:rPr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8233DB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2D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squisa.apps.tcu.gov.br/documento/acordao-completo/*/NUMACORDAO%253A1268%2520ANOACORDAO%253A2025%2520COLEGIADO%253A%2522Plen%25C3%25A1rio%2522/DTRELEVANCIA%2520desc/0/sinonimos%253Dfalse" TargetMode="External"/><Relationship Id="rId13" Type="http://schemas.openxmlformats.org/officeDocument/2006/relationships/hyperlink" Target="https://contas.tcu.gov.br/pesquisaJurisprudencia/" TargetMode="External"/><Relationship Id="rId18" Type="http://schemas.openxmlformats.org/officeDocument/2006/relationships/hyperlink" Target="https://www.planalto.gov.br/ccivil_03/_ato2019-2022/2021/lei/l14133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v.br/compras/pt-br/acesso-a-informacao/legislacao/instrucoes-normativas/instrucao-normativa-no-5-de-26-de-maio-de-2017-atualizada" TargetMode="External"/><Relationship Id="rId7" Type="http://schemas.openxmlformats.org/officeDocument/2006/relationships/hyperlink" Target="https://pesquisa.apps.tcu.gov.br/documento/acordao-completo/*/NUMACORDAO%253A1280%2520ANOACORDAO%253A2025%2520COLEGIADO%253A%2522Plen%25C3%25A1rio%2522/DTRELEVANCIA%2520desc/0/sinonimos%253Dfalse" TargetMode="External"/><Relationship Id="rId12" Type="http://schemas.openxmlformats.org/officeDocument/2006/relationships/hyperlink" Target="https://www.planalto.gov.br/ccivil_03/_Ato2023-2026/2024/Decreto/D12343.htm" TargetMode="External"/><Relationship Id="rId17" Type="http://schemas.openxmlformats.org/officeDocument/2006/relationships/hyperlink" Target="https://contas.tcu.gov.br/pesquisaJurisprudencia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planalto.gov.br/ccivil_03/constituicao/constituicao.htm" TargetMode="External"/><Relationship Id="rId20" Type="http://schemas.openxmlformats.org/officeDocument/2006/relationships/hyperlink" Target="https://contas.tcu.gov.br/pesquisaJurisprudencia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esquisa.apps.tcu.gov.br/documento/acordao-completo/*/NUMACORDAO%253A1280%2520ANOACORDAO%253A2025%2520COLEGIADO%253A%2522Plen%25C3%25A1rio%2522/DTRELEVANCIA%2520desc/0/sinonimos%253Dfalse" TargetMode="External"/><Relationship Id="rId11" Type="http://schemas.openxmlformats.org/officeDocument/2006/relationships/hyperlink" Target="https://www.planalto.gov.br/ccivil_03/_Ato2023-2026/2024/Decreto/D12343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planalto.gov.br/ccivil_03/_ato2015-2018/2015/decreto/d8538.htm" TargetMode="External"/><Relationship Id="rId23" Type="http://schemas.openxmlformats.org/officeDocument/2006/relationships/hyperlink" Target="https://www.sinj.df.gov.br/sinj/Norma/68164/S_mula_69_13_04_1999.html" TargetMode="External"/><Relationship Id="rId10" Type="http://schemas.openxmlformats.org/officeDocument/2006/relationships/hyperlink" Target="https://www.planalto.gov.br/ccivil_03/_Ato2019-2022/2021/Lei/L14133.htm" TargetMode="External"/><Relationship Id="rId19" Type="http://schemas.openxmlformats.org/officeDocument/2006/relationships/hyperlink" Target="https://www.planalto.gov.br/ccivil_03/_ato2019-2022/2021/lei/l14133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tas.tcu.gov.br/pesquisaJurisprudencia/" TargetMode="External"/><Relationship Id="rId14" Type="http://schemas.openxmlformats.org/officeDocument/2006/relationships/hyperlink" Target="https://www.planalto.gov.br/ccivil_03/leis/lcp/lcp123.htm" TargetMode="External"/><Relationship Id="rId22" Type="http://schemas.openxmlformats.org/officeDocument/2006/relationships/hyperlink" Target="https://contas.tcu.gov.br/pesquisaJurisprudenci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CD30-E198-44F5-AD93-047C4EC9B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1610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SARAIVA LOPES</dc:creator>
  <cp:keywords/>
  <dc:description/>
  <cp:lastModifiedBy>Márcio Lopes</cp:lastModifiedBy>
  <cp:revision>18</cp:revision>
  <dcterms:created xsi:type="dcterms:W3CDTF">2025-06-16T15:37:00Z</dcterms:created>
  <dcterms:modified xsi:type="dcterms:W3CDTF">2025-07-04T01:56:00Z</dcterms:modified>
</cp:coreProperties>
</file>