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46AE7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46AE7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46AE7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C46AE7" w14:paraId="5E913C8E" w14:textId="77777777" w:rsidTr="00C1175A">
        <w:tc>
          <w:tcPr>
            <w:tcW w:w="425" w:type="dxa"/>
          </w:tcPr>
          <w:p w14:paraId="243C6374" w14:textId="3D033FC7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081847E3" w14:textId="77777777" w:rsidR="000406CB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C46AE7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</w:p>
          <w:p w14:paraId="3BC03082" w14:textId="108637D3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O fiscal de contrato designado, diante da sobrecarga de trabalho para exercer adequadamente suas competências, em razão de elevado número de contratos já sob sua fiscalização, </w:t>
            </w:r>
            <w:r w:rsidRPr="00C46AE7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C46AE7">
              <w:rPr>
                <w:sz w:val="20"/>
                <w:szCs w:val="20"/>
              </w:rPr>
              <w:t xml:space="preserve">, para adoção das medidas pertinentes, </w:t>
            </w:r>
            <w:r w:rsidRPr="00C46AE7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C46AE7">
              <w:rPr>
                <w:sz w:val="20"/>
                <w:szCs w:val="20"/>
              </w:rPr>
              <w:t>.</w:t>
            </w:r>
          </w:p>
        </w:tc>
      </w:tr>
      <w:tr w:rsidR="00886C65" w:rsidRPr="00C46AE7" w14:paraId="1FB8ECB6" w14:textId="77777777" w:rsidTr="00C1175A">
        <w:tc>
          <w:tcPr>
            <w:tcW w:w="425" w:type="dxa"/>
          </w:tcPr>
          <w:p w14:paraId="49259AD0" w14:textId="40B27AC0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1B32DCA5" w14:textId="77777777" w:rsidR="000406CB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7" w:history="1">
              <w:r w:rsidRPr="00C46AE7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="00625999" w:rsidRPr="00C46AE7">
              <w:rPr>
                <w:sz w:val="20"/>
                <w:szCs w:val="20"/>
              </w:rPr>
              <w:t xml:space="preserve"> </w:t>
            </w:r>
          </w:p>
          <w:p w14:paraId="01487D67" w14:textId="10580134" w:rsidR="000406CB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(Acesso indevido a informações sigilosas.</w:t>
            </w:r>
          </w:p>
          <w:p w14:paraId="42B0F142" w14:textId="2E9C6CAB" w:rsidR="00886C65" w:rsidRPr="00C46AE7" w:rsidRDefault="000406CB" w:rsidP="00886C65">
            <w:pPr>
              <w:pStyle w:val="PargrafodaLista"/>
              <w:ind w:left="0"/>
            </w:pPr>
            <w:r w:rsidRPr="00C46AE7">
              <w:rPr>
                <w:sz w:val="20"/>
                <w:szCs w:val="20"/>
              </w:rPr>
              <w:t xml:space="preserve">Preços idênticos. Orçamento estimado. </w:t>
            </w:r>
            <w:r w:rsidR="00886C65" w:rsidRPr="00C46AE7">
              <w:rPr>
                <w:sz w:val="20"/>
                <w:szCs w:val="20"/>
              </w:rPr>
              <w:t>Competitividade. Isonomia. Idoneidade. )</w:t>
            </w:r>
          </w:p>
        </w:tc>
        <w:tc>
          <w:tcPr>
            <w:tcW w:w="8221" w:type="dxa"/>
          </w:tcPr>
          <w:p w14:paraId="192446B2" w14:textId="5C67ACAB" w:rsidR="00886C65" w:rsidRPr="00C46AE7" w:rsidRDefault="00886C65" w:rsidP="000406CB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</w:t>
            </w:r>
            <w:r w:rsidR="000406CB" w:rsidRPr="00C46AE7">
              <w:rPr>
                <w:sz w:val="20"/>
                <w:szCs w:val="20"/>
              </w:rPr>
              <w:t xml:space="preserve">art. </w:t>
            </w:r>
            <w:r w:rsidRPr="00C46AE7">
              <w:rPr>
                <w:sz w:val="20"/>
                <w:szCs w:val="20"/>
              </w:rPr>
              <w:t>46 da Lei 8.443/1992,</w:t>
            </w:r>
            <w:r w:rsidR="000406CB" w:rsidRPr="00C46AE7">
              <w:rPr>
                <w:sz w:val="20"/>
                <w:szCs w:val="20"/>
              </w:rPr>
              <w:t xml:space="preserve"> </w:t>
            </w:r>
            <w:r w:rsidRPr="00C46AE7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C46AE7" w14:paraId="322FE962" w14:textId="77777777" w:rsidTr="00C1175A">
        <w:tc>
          <w:tcPr>
            <w:tcW w:w="425" w:type="dxa"/>
          </w:tcPr>
          <w:p w14:paraId="7985FFED" w14:textId="1A1C0034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323D970D" w14:textId="77777777" w:rsidR="000406CB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8" w:history="1">
              <w:r w:rsidRPr="00C46AE7">
                <w:rPr>
                  <w:rStyle w:val="Hyperlink"/>
                  <w:sz w:val="20"/>
                  <w:szCs w:val="20"/>
                </w:rPr>
                <w:t>Acórdão 1268/2025 Plenário</w:t>
              </w:r>
            </w:hyperlink>
            <w:r w:rsidRPr="00C46AE7">
              <w:rPr>
                <w:sz w:val="20"/>
                <w:szCs w:val="20"/>
              </w:rPr>
              <w:t xml:space="preserve"> </w:t>
            </w:r>
          </w:p>
          <w:p w14:paraId="24B81C36" w14:textId="2B388470" w:rsidR="00886C65" w:rsidRPr="00C46AE7" w:rsidRDefault="00886C65" w:rsidP="00886C65">
            <w:pPr>
              <w:pStyle w:val="PargrafodaLista"/>
              <w:ind w:left="0"/>
            </w:pPr>
            <w:r w:rsidRPr="00C46AE7">
              <w:rPr>
                <w:sz w:val="20"/>
                <w:szCs w:val="20"/>
              </w:rPr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C46AE7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C46AE7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C46AE7" w14:paraId="1FAD779C" w14:textId="77777777" w:rsidTr="00C1175A">
        <w:tc>
          <w:tcPr>
            <w:tcW w:w="425" w:type="dxa"/>
          </w:tcPr>
          <w:p w14:paraId="7F419433" w14:textId="3F40864F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6B55D5A7" w14:textId="77777777" w:rsidR="000406CB" w:rsidRPr="00C46AE7" w:rsidRDefault="00886C65" w:rsidP="00886C65">
            <w:pPr>
              <w:pStyle w:val="PargrafodaLista"/>
              <w:ind w:left="0"/>
            </w:pPr>
            <w:hyperlink r:id="rId9" w:anchor="/detalhamento/11/%252a/NUMACORDAO%253A1123%2520ANOACORDAO%253A2025%2520COLEGIADO%253A%2522Plen%25C3%25A1rio%2522/DTRELEVANCIA%2520desc/false/1" w:history="1">
              <w:r w:rsidRPr="00C46AE7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 w:rsidRPr="00C46AE7">
              <w:t xml:space="preserve"> </w:t>
            </w:r>
          </w:p>
          <w:p w14:paraId="7F858A04" w14:textId="35F74D1B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C46AE7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46AE7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46AE7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46AE7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C46AE7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C46AE7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46AE7">
              <w:rPr>
                <w:b/>
                <w:bCs/>
                <w:sz w:val="20"/>
                <w:szCs w:val="20"/>
              </w:rPr>
              <w:t>caput</w:t>
            </w:r>
            <w:r w:rsidRPr="00C46AE7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C46AE7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46AE7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C46AE7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I - </w:t>
            </w:r>
            <w:proofErr w:type="gramStart"/>
            <w:r w:rsidRPr="00C46AE7">
              <w:rPr>
                <w:sz w:val="20"/>
                <w:szCs w:val="20"/>
              </w:rPr>
              <w:t>melhor</w:t>
            </w:r>
            <w:proofErr w:type="gramEnd"/>
            <w:r w:rsidRPr="00C46AE7">
              <w:rPr>
                <w:sz w:val="20"/>
                <w:szCs w:val="20"/>
              </w:rPr>
              <w:t xml:space="preserve"> técnica; ou</w:t>
            </w:r>
          </w:p>
          <w:p w14:paraId="39D02E6B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II - </w:t>
            </w:r>
            <w:proofErr w:type="gramStart"/>
            <w:r w:rsidRPr="00C46AE7">
              <w:rPr>
                <w:sz w:val="20"/>
                <w:szCs w:val="20"/>
              </w:rPr>
              <w:t>técnica</w:t>
            </w:r>
            <w:proofErr w:type="gramEnd"/>
            <w:r w:rsidRPr="00C46AE7">
              <w:rPr>
                <w:sz w:val="20"/>
                <w:szCs w:val="20"/>
              </w:rPr>
              <w:t xml:space="preserve"> e preço, na </w:t>
            </w:r>
            <w:r w:rsidRPr="00C46AE7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46AE7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C46AE7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C46AE7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[...]</w:t>
            </w:r>
          </w:p>
          <w:p w14:paraId="4087DA5E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C46AE7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[...]</w:t>
            </w:r>
          </w:p>
          <w:p w14:paraId="410CB5F6" w14:textId="10C9B04F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C46AE7" w14:paraId="29EFE58C" w14:textId="77777777" w:rsidTr="00C1175A">
        <w:tc>
          <w:tcPr>
            <w:tcW w:w="425" w:type="dxa"/>
          </w:tcPr>
          <w:p w14:paraId="4DBE2DA9" w14:textId="296D601D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43DE6C40" w14:textId="77777777" w:rsidR="000406CB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100%2520ANOACORDAO%253A2025%2520COLEGIADO%253A%2522Plen%25C3%25A1rio%2522/DTRELEVANCIA%2520desc/false/1" w:history="1">
              <w:r w:rsidRPr="00C46AE7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  <w:r w:rsidRPr="00C46AE7">
              <w:rPr>
                <w:sz w:val="20"/>
                <w:szCs w:val="20"/>
              </w:rPr>
              <w:t xml:space="preserve"> </w:t>
            </w:r>
          </w:p>
          <w:p w14:paraId="13EA8689" w14:textId="2C79487B" w:rsidR="00886C65" w:rsidRPr="00C46AE7" w:rsidRDefault="00886C65" w:rsidP="00886C65">
            <w:pPr>
              <w:pStyle w:val="PargrafodaLista"/>
              <w:ind w:left="0"/>
            </w:pPr>
            <w:r w:rsidRPr="00C46AE7">
              <w:rPr>
                <w:sz w:val="20"/>
                <w:szCs w:val="20"/>
              </w:rPr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46AE7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46AE7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46AE7">
              <w:rPr>
                <w:sz w:val="20"/>
                <w:szCs w:val="20"/>
              </w:rPr>
              <w:t xml:space="preserve">), </w:t>
            </w:r>
            <w:r w:rsidRPr="00C46AE7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46AE7">
              <w:rPr>
                <w:sz w:val="20"/>
                <w:szCs w:val="20"/>
              </w:rPr>
              <w:t xml:space="preserve"> </w:t>
            </w:r>
            <w:r w:rsidRPr="00C46AE7">
              <w:rPr>
                <w:b/>
                <w:bCs/>
                <w:sz w:val="20"/>
                <w:szCs w:val="20"/>
              </w:rPr>
              <w:t>para cada item</w:t>
            </w:r>
            <w:r w:rsidRPr="00C46AE7">
              <w:rPr>
                <w:sz w:val="20"/>
                <w:szCs w:val="20"/>
              </w:rPr>
              <w:t xml:space="preserve">, </w:t>
            </w:r>
            <w:r w:rsidRPr="00C46AE7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46AE7">
              <w:rPr>
                <w:sz w:val="20"/>
                <w:szCs w:val="20"/>
              </w:rPr>
              <w:t xml:space="preserve">, por </w:t>
            </w:r>
            <w:r w:rsidRPr="00C46AE7">
              <w:rPr>
                <w:b/>
                <w:bCs/>
                <w:sz w:val="20"/>
                <w:szCs w:val="20"/>
              </w:rPr>
              <w:t>afrontar</w:t>
            </w:r>
            <w:r w:rsidRPr="00C46AE7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C46AE7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46AE7">
              <w:rPr>
                <w:sz w:val="20"/>
                <w:szCs w:val="20"/>
              </w:rPr>
              <w:t xml:space="preserve"> e </w:t>
            </w:r>
            <w:r w:rsidRPr="00C46AE7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46AE7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C46AE7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46AE7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C46AE7" w14:paraId="3D497678" w14:textId="77777777" w:rsidTr="00C1175A">
        <w:tc>
          <w:tcPr>
            <w:tcW w:w="425" w:type="dxa"/>
          </w:tcPr>
          <w:p w14:paraId="78FDC26C" w14:textId="640D0316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BE242A9" w14:textId="77777777" w:rsidR="000406CB" w:rsidRPr="00C46AE7" w:rsidRDefault="00886C65" w:rsidP="00886C65">
            <w:pPr>
              <w:pStyle w:val="PargrafodaLista"/>
              <w:ind w:left="0"/>
              <w:rPr>
                <w:sz w:val="22"/>
                <w:szCs w:val="22"/>
              </w:rPr>
            </w:pPr>
            <w:hyperlink r:id="rId17" w:anchor="/detalhamento/11/%252a/NUMACORDAO%253A1091%2520ANOACORDAO%253A2025%2520COLEGIADO%253A%2522Plen%25C3%25A1rio%2522/DTRELEVANCIA%2520desc/false/1" w:history="1">
              <w:r w:rsidRPr="00C46AE7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 w:rsidRPr="00C46AE7">
              <w:rPr>
                <w:sz w:val="22"/>
                <w:szCs w:val="22"/>
              </w:rPr>
              <w:t xml:space="preserve"> </w:t>
            </w:r>
          </w:p>
          <w:p w14:paraId="3A189C7A" w14:textId="5CDA4051" w:rsidR="00886C65" w:rsidRPr="00C46AE7" w:rsidRDefault="00886C65" w:rsidP="00886C65">
            <w:pPr>
              <w:pStyle w:val="PargrafodaLista"/>
              <w:ind w:left="0"/>
            </w:pPr>
            <w:r w:rsidRPr="00C46AE7">
              <w:rPr>
                <w:sz w:val="20"/>
                <w:szCs w:val="20"/>
              </w:rPr>
              <w:t xml:space="preserve">(Certificação ISO. Demonstração de </w:t>
            </w:r>
            <w:r w:rsidRPr="00C46AE7">
              <w:rPr>
                <w:sz w:val="20"/>
                <w:szCs w:val="20"/>
              </w:rPr>
              <w:lastRenderedPageBreak/>
              <w:t>capacidade técnica. Capacidade operacional.)</w:t>
            </w:r>
          </w:p>
        </w:tc>
        <w:tc>
          <w:tcPr>
            <w:tcW w:w="8221" w:type="dxa"/>
          </w:tcPr>
          <w:p w14:paraId="5D37B5E2" w14:textId="65F216AE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lastRenderedPageBreak/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C46AE7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46AE7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46AE7">
              <w:rPr>
                <w:b/>
                <w:bCs/>
                <w:sz w:val="20"/>
                <w:szCs w:val="20"/>
              </w:rPr>
              <w:t xml:space="preserve">pode ser entendida como a demonstração da capacidade técnica do quadro de pessoal integrada com a experiência </w:t>
            </w:r>
            <w:r w:rsidRPr="00C46AE7">
              <w:rPr>
                <w:b/>
                <w:bCs/>
                <w:sz w:val="20"/>
                <w:szCs w:val="20"/>
              </w:rPr>
              <w:lastRenderedPageBreak/>
              <w:t>organizacional da empresa e seus meios de produção, ou seja, a sua própria capacidade operacional</w:t>
            </w:r>
            <w:r w:rsidRPr="00C46AE7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C46AE7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46AE7">
              <w:rPr>
                <w:sz w:val="20"/>
                <w:szCs w:val="20"/>
              </w:rPr>
              <w:t>).</w:t>
            </w:r>
          </w:p>
        </w:tc>
      </w:tr>
      <w:tr w:rsidR="00886C65" w:rsidRPr="00C46AE7" w14:paraId="01DE6FB7" w14:textId="77777777" w:rsidTr="00C1175A">
        <w:tc>
          <w:tcPr>
            <w:tcW w:w="425" w:type="dxa"/>
          </w:tcPr>
          <w:p w14:paraId="5D3D3C40" w14:textId="402C788E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411" w:type="dxa"/>
          </w:tcPr>
          <w:p w14:paraId="5DF81C9A" w14:textId="77777777" w:rsidR="000406CB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0" w:anchor="/detalhamento/11/%252a/NUMACORDAO%253A1087%2520ANOACORDAO%253A2025%2520COLEGIADO%253A%2522Plen%25C3%25A1rio%2522/DTRELEVANCIA%2520desc/false/1" w:history="1">
              <w:r w:rsidRPr="00C46AE7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 w:rsidRPr="00C46AE7">
              <w:rPr>
                <w:sz w:val="20"/>
                <w:szCs w:val="20"/>
              </w:rPr>
              <w:t xml:space="preserve"> </w:t>
            </w:r>
          </w:p>
          <w:p w14:paraId="113D5957" w14:textId="6F3BA364" w:rsidR="00886C65" w:rsidRPr="00C46AE7" w:rsidRDefault="00886C65" w:rsidP="00886C65">
            <w:pPr>
              <w:pStyle w:val="PargrafodaLista"/>
              <w:ind w:left="0"/>
            </w:pPr>
            <w:r w:rsidRPr="00C46AE7">
              <w:rPr>
                <w:sz w:val="20"/>
                <w:szCs w:val="20"/>
              </w:rPr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Para efeitos de qualificação econômico-financeira </w:t>
            </w:r>
            <w:r w:rsidRPr="00C46AE7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46AE7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46AE7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46AE7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46AE7">
              <w:rPr>
                <w:sz w:val="20"/>
                <w:szCs w:val="20"/>
              </w:rPr>
              <w:t>Seges-ME</w:t>
            </w:r>
            <w:proofErr w:type="spellEnd"/>
            <w:r w:rsidRPr="00C46AE7">
              <w:rPr>
                <w:sz w:val="20"/>
                <w:szCs w:val="20"/>
              </w:rPr>
              <w:t xml:space="preserve"> 98/2022), </w:t>
            </w:r>
            <w:r w:rsidRPr="00C46AE7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46AE7">
              <w:rPr>
                <w:sz w:val="20"/>
                <w:szCs w:val="20"/>
              </w:rPr>
              <w:t>.</w:t>
            </w:r>
          </w:p>
        </w:tc>
      </w:tr>
      <w:tr w:rsidR="00886C65" w:rsidRPr="00C46AE7" w14:paraId="6FC67B03" w14:textId="77777777" w:rsidTr="00C1175A">
        <w:tc>
          <w:tcPr>
            <w:tcW w:w="425" w:type="dxa"/>
          </w:tcPr>
          <w:p w14:paraId="41576FFA" w14:textId="45394FCC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40BCFA05" w14:textId="77777777" w:rsidR="000406CB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C46AE7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  <w:p w14:paraId="5CD25BF5" w14:textId="6A6F0919" w:rsidR="00886C65" w:rsidRPr="00C46AE7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C46AE7" w:rsidRDefault="00886C65" w:rsidP="00886C65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46AE7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46AE7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Pr="00C46AE7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Pr="00C46AE7" w:rsidRDefault="00C1175A">
      <w:pPr>
        <w:rPr>
          <w:sz w:val="20"/>
          <w:szCs w:val="20"/>
        </w:rPr>
      </w:pPr>
      <w:r w:rsidRPr="00C46AE7"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46AE7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C46AE7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 w:rsidRPr="00C46AE7"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C46AE7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656517" w:rsidRPr="00C46AE7" w14:paraId="7D1B743C" w14:textId="77777777" w:rsidTr="00C1175A">
        <w:tc>
          <w:tcPr>
            <w:tcW w:w="192" w:type="pct"/>
          </w:tcPr>
          <w:p w14:paraId="56E2B530" w14:textId="02D5BEC5" w:rsidR="00656517" w:rsidRPr="00C46AE7" w:rsidRDefault="00886C65" w:rsidP="00D6794A">
            <w:pPr>
              <w:pStyle w:val="PargrafodaLista"/>
              <w:ind w:left="0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758B6D3E" w14:textId="77777777" w:rsidR="000406CB" w:rsidRPr="00C46AE7" w:rsidRDefault="000D54A8" w:rsidP="000D54A8">
            <w:hyperlink r:id="rId23" w:history="1">
              <w:r w:rsidRPr="00C46AE7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11DF4D2" w14:textId="77777777" w:rsidR="00E00922" w:rsidRPr="00C46AE7" w:rsidRDefault="00E00922" w:rsidP="000D54A8"/>
          <w:p w14:paraId="3233C16C" w14:textId="4F62BA8E" w:rsidR="000D54A8" w:rsidRPr="00C46AE7" w:rsidRDefault="000D54A8" w:rsidP="000D54A8">
            <w:pPr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Atualizada em decorrência da Lei 14.133/2021</w:t>
            </w:r>
          </w:p>
          <w:p w14:paraId="468A7279" w14:textId="77777777" w:rsidR="00E00922" w:rsidRPr="00C46AE7" w:rsidRDefault="00E00922" w:rsidP="000D54A8">
            <w:pPr>
              <w:rPr>
                <w:sz w:val="20"/>
                <w:szCs w:val="20"/>
              </w:rPr>
            </w:pPr>
          </w:p>
          <w:p w14:paraId="59E4B58B" w14:textId="6545EC63" w:rsidR="000D54A8" w:rsidRPr="00C46AE7" w:rsidRDefault="000D54A8" w:rsidP="000D54A8">
            <w:pPr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2267A46B" w14:textId="0C34CAC0" w:rsidR="00656517" w:rsidRPr="00C46AE7" w:rsidRDefault="00A414BA" w:rsidP="000D54A8">
            <w:pPr>
              <w:jc w:val="both"/>
              <w:rPr>
                <w:sz w:val="20"/>
                <w:szCs w:val="20"/>
              </w:rPr>
            </w:pPr>
            <w:r w:rsidRPr="00C46AE7">
              <w:rPr>
                <w:sz w:val="20"/>
                <w:szCs w:val="20"/>
              </w:rPr>
              <w:t xml:space="preserve">É admissível a inexigibilidade de licitação, com base no art. 74 da Lei nº 14.133/21, para a contratação de serviços não especificados nos seus incisos, quando houver inviabilidade de competição, cuja </w:t>
            </w:r>
            <w:r w:rsidRPr="00C46AE7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C46AE7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 w:rsidR="000D54A8" w:rsidRPr="00C46AE7">
              <w:rPr>
                <w:sz w:val="20"/>
                <w:szCs w:val="20"/>
              </w:rPr>
              <w:t xml:space="preserve"> </w:t>
            </w:r>
            <w:r w:rsidRPr="00C46AE7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A641C8" w:rsidRPr="00C46AE7" w14:paraId="2FA34656" w14:textId="77777777" w:rsidTr="00C1175A">
        <w:tc>
          <w:tcPr>
            <w:tcW w:w="192" w:type="pct"/>
          </w:tcPr>
          <w:p w14:paraId="0DDC0EE2" w14:textId="476E7C77" w:rsidR="00A641C8" w:rsidRPr="00C46AE7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1471A0F" w14:textId="51D08440" w:rsidR="00A641C8" w:rsidRPr="00C46AE7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3FBF7975" w14:textId="78A0F47E" w:rsidR="00A641C8" w:rsidRPr="00C46AE7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  <w:tr w:rsidR="00A641C8" w:rsidRPr="00C46AE7" w14:paraId="1177924B" w14:textId="77777777" w:rsidTr="00C1175A">
        <w:tc>
          <w:tcPr>
            <w:tcW w:w="192" w:type="pct"/>
          </w:tcPr>
          <w:p w14:paraId="2DC4F50B" w14:textId="16401516" w:rsidR="00A641C8" w:rsidRPr="00C46AE7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A641C8" w:rsidRPr="00C46AE7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A641C8" w:rsidRPr="00C46AE7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  <w:tr w:rsidR="00A641C8" w:rsidRPr="00C46AE7" w14:paraId="555616AB" w14:textId="77777777" w:rsidTr="00C1175A">
        <w:tc>
          <w:tcPr>
            <w:tcW w:w="192" w:type="pct"/>
          </w:tcPr>
          <w:p w14:paraId="38A570DD" w14:textId="5714B05B" w:rsidR="00A641C8" w:rsidRPr="00C46AE7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A641C8" w:rsidRPr="00C46AE7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A641C8" w:rsidRPr="00C46AE7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46AE7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46AE7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27AF7"/>
    <w:rsid w:val="00034E46"/>
    <w:rsid w:val="000406CB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321B3E"/>
    <w:rsid w:val="0033522F"/>
    <w:rsid w:val="00596615"/>
    <w:rsid w:val="005D20B1"/>
    <w:rsid w:val="00625999"/>
    <w:rsid w:val="00643A78"/>
    <w:rsid w:val="00656517"/>
    <w:rsid w:val="006C4D7F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A641C8"/>
    <w:rsid w:val="00C1175A"/>
    <w:rsid w:val="00C27DAB"/>
    <w:rsid w:val="00C46AE7"/>
    <w:rsid w:val="00C804C1"/>
    <w:rsid w:val="00CB4E28"/>
    <w:rsid w:val="00D7661B"/>
    <w:rsid w:val="00D816A3"/>
    <w:rsid w:val="00D97CA7"/>
    <w:rsid w:val="00E00922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4/S_mula_69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1616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24</cp:revision>
  <dcterms:created xsi:type="dcterms:W3CDTF">2025-06-16T15:37:00Z</dcterms:created>
  <dcterms:modified xsi:type="dcterms:W3CDTF">2025-07-05T16:18:00Z</dcterms:modified>
</cp:coreProperties>
</file>