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021" w:type="dxa"/>
        <w:tblLook w:val="04A0" w:firstRow="1" w:lastRow="0" w:firstColumn="1" w:lastColumn="0" w:noHBand="0" w:noVBand="1"/>
        <w:tblCaption w:val="Normativos"/>
      </w:tblPr>
      <w:tblGrid>
        <w:gridCol w:w="704"/>
        <w:gridCol w:w="3119"/>
        <w:gridCol w:w="11198"/>
      </w:tblGrid>
      <w:tr w:rsidR="00E67719" w:rsidRPr="000B3813" w14:paraId="61167F7E" w14:textId="77777777" w:rsidTr="00150D60">
        <w:tc>
          <w:tcPr>
            <w:tcW w:w="15021" w:type="dxa"/>
            <w:gridSpan w:val="3"/>
            <w:vAlign w:val="center"/>
          </w:tcPr>
          <w:p w14:paraId="4BE66752" w14:textId="37CDCE54" w:rsidR="00E67719" w:rsidRPr="000B3813" w:rsidRDefault="00E67719" w:rsidP="00150D60">
            <w:pPr>
              <w:jc w:val="center"/>
              <w:rPr>
                <w:b/>
                <w:bCs/>
                <w:sz w:val="16"/>
                <w:szCs w:val="16"/>
              </w:rPr>
            </w:pPr>
            <w:r w:rsidRPr="001A41F6">
              <w:rPr>
                <w:b/>
                <w:bCs/>
                <w:sz w:val="16"/>
                <w:szCs w:val="16"/>
              </w:rPr>
              <w:t>Normativos</w:t>
            </w:r>
          </w:p>
        </w:tc>
      </w:tr>
      <w:tr w:rsidR="00E67719" w:rsidRPr="000B3813" w14:paraId="749BB73C" w14:textId="77777777" w:rsidTr="00150D60">
        <w:tc>
          <w:tcPr>
            <w:tcW w:w="704" w:type="dxa"/>
            <w:vAlign w:val="center"/>
          </w:tcPr>
          <w:p w14:paraId="3725F94A" w14:textId="4DB1FCFA" w:rsidR="00E67719" w:rsidRPr="000B3813" w:rsidRDefault="003F5070" w:rsidP="00150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46D950AB" w14:textId="22E11083" w:rsidR="00E67719" w:rsidRPr="000B3813" w:rsidRDefault="00B715F6" w:rsidP="00150D60">
            <w:pPr>
              <w:rPr>
                <w:sz w:val="16"/>
                <w:szCs w:val="16"/>
              </w:rPr>
            </w:pPr>
            <w:hyperlink r:id="rId4" w:history="1">
              <w:r w:rsidR="00E67719" w:rsidRPr="00B715F6">
                <w:rPr>
                  <w:rStyle w:val="Hyperlink"/>
                  <w:sz w:val="16"/>
                  <w:szCs w:val="16"/>
                </w:rPr>
                <w:t>Lei nº 14.133, de 1º de abril de 2021</w:t>
              </w:r>
            </w:hyperlink>
          </w:p>
        </w:tc>
        <w:tc>
          <w:tcPr>
            <w:tcW w:w="11198" w:type="dxa"/>
            <w:vAlign w:val="center"/>
          </w:tcPr>
          <w:p w14:paraId="6D5BC4D9" w14:textId="509E07AB" w:rsidR="00B715F6" w:rsidRPr="000B3813" w:rsidRDefault="00E67719" w:rsidP="00B715F6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normas gerais de licitação e contratação para as Administrações Públicas diretas, autárquicas e fundacionais da União, dos Estados, do Distrito Federal e dos Municípios.</w:t>
            </w:r>
          </w:p>
        </w:tc>
      </w:tr>
      <w:tr w:rsidR="00246FD0" w:rsidRPr="000B3813" w14:paraId="748AAEC2" w14:textId="77777777" w:rsidTr="00150D60">
        <w:tc>
          <w:tcPr>
            <w:tcW w:w="704" w:type="dxa"/>
            <w:vAlign w:val="center"/>
          </w:tcPr>
          <w:p w14:paraId="643EA34D" w14:textId="528C5F65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520BB316" w14:textId="7127A71A" w:rsidR="00246FD0" w:rsidRDefault="00246FD0" w:rsidP="00246FD0">
            <w:pPr>
              <w:rPr>
                <w:sz w:val="16"/>
                <w:szCs w:val="16"/>
              </w:rPr>
            </w:pPr>
            <w:hyperlink r:id="rId5" w:history="1">
              <w:r w:rsidRPr="009A14EE">
                <w:rPr>
                  <w:rStyle w:val="Hyperlink"/>
                  <w:sz w:val="16"/>
                  <w:szCs w:val="16"/>
                </w:rPr>
                <w:t>Lei Complementar nº 123, de 14 de dezembro de 2006</w:t>
              </w:r>
            </w:hyperlink>
          </w:p>
        </w:tc>
        <w:tc>
          <w:tcPr>
            <w:tcW w:w="11198" w:type="dxa"/>
            <w:vAlign w:val="center"/>
          </w:tcPr>
          <w:p w14:paraId="25E24556" w14:textId="194288C8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Institui o Estatuto Nacional da Microempresa e da Empresa de Pequeno Porte.</w:t>
            </w:r>
          </w:p>
        </w:tc>
      </w:tr>
      <w:tr w:rsidR="00246FD0" w:rsidRPr="000B3813" w14:paraId="77EB4EC7" w14:textId="77777777" w:rsidTr="00150D60">
        <w:tc>
          <w:tcPr>
            <w:tcW w:w="704" w:type="dxa"/>
            <w:vAlign w:val="center"/>
          </w:tcPr>
          <w:p w14:paraId="63C170DB" w14:textId="6E347437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0F136B49" w14:textId="0404201A" w:rsidR="00246FD0" w:rsidRDefault="00246FD0" w:rsidP="00246FD0">
            <w:pPr>
              <w:rPr>
                <w:sz w:val="16"/>
                <w:szCs w:val="16"/>
              </w:rPr>
            </w:pPr>
            <w:hyperlink r:id="rId6" w:history="1">
              <w:r w:rsidRPr="008C4024">
                <w:rPr>
                  <w:rStyle w:val="Hyperlink"/>
                  <w:sz w:val="16"/>
                  <w:szCs w:val="16"/>
                </w:rPr>
                <w:t>Lei nº 9.784, DE 29 DE JANEIRO DE 1999</w:t>
              </w:r>
            </w:hyperlink>
          </w:p>
        </w:tc>
        <w:tc>
          <w:tcPr>
            <w:tcW w:w="11198" w:type="dxa"/>
            <w:vAlign w:val="center"/>
          </w:tcPr>
          <w:p w14:paraId="77078E4E" w14:textId="2D504390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2878C9">
              <w:rPr>
                <w:sz w:val="16"/>
                <w:szCs w:val="16"/>
              </w:rPr>
              <w:t>Regula</w:t>
            </w:r>
            <w:r>
              <w:rPr>
                <w:sz w:val="16"/>
                <w:szCs w:val="16"/>
              </w:rPr>
              <w:t>menta</w:t>
            </w:r>
            <w:r w:rsidRPr="002878C9">
              <w:rPr>
                <w:sz w:val="16"/>
                <w:szCs w:val="16"/>
              </w:rPr>
              <w:t xml:space="preserve"> o processo administrativo no âmbito da Administração Pública Federal.</w:t>
            </w:r>
          </w:p>
        </w:tc>
      </w:tr>
      <w:tr w:rsidR="00246FD0" w:rsidRPr="000B3813" w14:paraId="20DE4EFA" w14:textId="77777777" w:rsidTr="00150D60">
        <w:tc>
          <w:tcPr>
            <w:tcW w:w="704" w:type="dxa"/>
            <w:vAlign w:val="center"/>
          </w:tcPr>
          <w:p w14:paraId="111158C1" w14:textId="6D5B499B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9" w:type="dxa"/>
            <w:vAlign w:val="center"/>
          </w:tcPr>
          <w:p w14:paraId="6186AB4C" w14:textId="2ACEB50E" w:rsidR="00246FD0" w:rsidRDefault="00246FD0" w:rsidP="00246FD0">
            <w:pPr>
              <w:rPr>
                <w:sz w:val="16"/>
                <w:szCs w:val="16"/>
              </w:rPr>
            </w:pPr>
            <w:hyperlink r:id="rId7" w:history="1">
              <w:r w:rsidRPr="009A14EE">
                <w:rPr>
                  <w:rStyle w:val="Hyperlink"/>
                  <w:sz w:val="16"/>
                  <w:szCs w:val="16"/>
                </w:rPr>
                <w:t>Lei nº 8.078, de 11 de setembro de 1990</w:t>
              </w:r>
            </w:hyperlink>
          </w:p>
        </w:tc>
        <w:tc>
          <w:tcPr>
            <w:tcW w:w="11198" w:type="dxa"/>
            <w:vAlign w:val="center"/>
          </w:tcPr>
          <w:p w14:paraId="06666285" w14:textId="5704A191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a proteção do consumidor e dá outras providências.</w:t>
            </w:r>
          </w:p>
        </w:tc>
      </w:tr>
      <w:tr w:rsidR="00246FD0" w:rsidRPr="000B3813" w14:paraId="76675737" w14:textId="77777777" w:rsidTr="00150D60">
        <w:tc>
          <w:tcPr>
            <w:tcW w:w="704" w:type="dxa"/>
            <w:vAlign w:val="center"/>
          </w:tcPr>
          <w:p w14:paraId="34195250" w14:textId="6223A13D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19" w:type="dxa"/>
            <w:vAlign w:val="center"/>
          </w:tcPr>
          <w:p w14:paraId="4A778840" w14:textId="26ECB6B6" w:rsidR="00246FD0" w:rsidRDefault="00246FD0" w:rsidP="00246FD0">
            <w:pPr>
              <w:rPr>
                <w:sz w:val="16"/>
                <w:szCs w:val="16"/>
              </w:rPr>
            </w:pPr>
            <w:hyperlink r:id="rId8" w:history="1">
              <w:r w:rsidRPr="009A14EE">
                <w:rPr>
                  <w:rStyle w:val="Hyperlink"/>
                  <w:sz w:val="16"/>
                  <w:szCs w:val="16"/>
                </w:rPr>
                <w:t>GDF - Lei nº 4.770, de 22 de fevereiro de 2012</w:t>
              </w:r>
            </w:hyperlink>
          </w:p>
        </w:tc>
        <w:tc>
          <w:tcPr>
            <w:tcW w:w="11198" w:type="dxa"/>
            <w:vAlign w:val="center"/>
          </w:tcPr>
          <w:p w14:paraId="66B2DA23" w14:textId="622A39C2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os critérios de sustentabilidade ambiental na aquisição de bens e na contratação de obras e serviços pelo Distrito Federal.</w:t>
            </w:r>
          </w:p>
        </w:tc>
      </w:tr>
      <w:tr w:rsidR="00246FD0" w:rsidRPr="000B3813" w14:paraId="10DEC5C1" w14:textId="77777777" w:rsidTr="00150D60">
        <w:tc>
          <w:tcPr>
            <w:tcW w:w="704" w:type="dxa"/>
            <w:vAlign w:val="center"/>
          </w:tcPr>
          <w:p w14:paraId="7589C566" w14:textId="0BED8A9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19" w:type="dxa"/>
            <w:vAlign w:val="center"/>
          </w:tcPr>
          <w:p w14:paraId="4166D3F7" w14:textId="5221BC36" w:rsidR="00246FD0" w:rsidRDefault="00246FD0" w:rsidP="00246FD0">
            <w:pPr>
              <w:rPr>
                <w:sz w:val="16"/>
                <w:szCs w:val="16"/>
              </w:rPr>
            </w:pPr>
            <w:hyperlink r:id="rId9" w:history="1">
              <w:r w:rsidRPr="009A14EE">
                <w:rPr>
                  <w:rStyle w:val="Hyperlink"/>
                  <w:sz w:val="16"/>
                  <w:szCs w:val="16"/>
                </w:rPr>
                <w:t>GDF - Lei nº 4.611, de 09 de agosto de 2011</w:t>
              </w:r>
            </w:hyperlink>
          </w:p>
        </w:tc>
        <w:tc>
          <w:tcPr>
            <w:tcW w:w="11198" w:type="dxa"/>
            <w:vAlign w:val="center"/>
          </w:tcPr>
          <w:p w14:paraId="20DE7297" w14:textId="733E39DB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no Distrito Federal o tratamento favorecido, diferenciado e simplificado para microempresas, empresas de pequeno porte e microempreendedores individuais.</w:t>
            </w:r>
          </w:p>
        </w:tc>
      </w:tr>
      <w:tr w:rsidR="00246FD0" w:rsidRPr="000B3813" w14:paraId="02152EA1" w14:textId="77777777" w:rsidTr="00150D60">
        <w:tc>
          <w:tcPr>
            <w:tcW w:w="704" w:type="dxa"/>
            <w:vAlign w:val="center"/>
          </w:tcPr>
          <w:p w14:paraId="4D5527BF" w14:textId="32EA65C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19" w:type="dxa"/>
            <w:vAlign w:val="center"/>
          </w:tcPr>
          <w:p w14:paraId="56E2B1C9" w14:textId="3158782A" w:rsidR="00246FD0" w:rsidRDefault="00246FD0" w:rsidP="00246FD0">
            <w:pPr>
              <w:rPr>
                <w:sz w:val="16"/>
                <w:szCs w:val="16"/>
              </w:rPr>
            </w:pPr>
            <w:hyperlink r:id="rId10" w:history="1">
              <w:r w:rsidRPr="009A14EE">
                <w:rPr>
                  <w:rStyle w:val="Hyperlink"/>
                  <w:sz w:val="16"/>
                  <w:szCs w:val="16"/>
                </w:rPr>
                <w:t>GDF - Decreto nº 44.330, de 16 de março de 2023</w:t>
              </w:r>
            </w:hyperlink>
          </w:p>
        </w:tc>
        <w:tc>
          <w:tcPr>
            <w:tcW w:w="11198" w:type="dxa"/>
            <w:vAlign w:val="center"/>
          </w:tcPr>
          <w:p w14:paraId="51CB5F55" w14:textId="2A06BD79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a Lei Federal nº 14.133/ 2021, no âmbito da Administração Pública direta, autárquica e fundacional do Distrito Federal.</w:t>
            </w:r>
          </w:p>
        </w:tc>
      </w:tr>
      <w:tr w:rsidR="00246FD0" w:rsidRPr="000B3813" w14:paraId="7ADDC027" w14:textId="77777777" w:rsidTr="00150D60">
        <w:tc>
          <w:tcPr>
            <w:tcW w:w="704" w:type="dxa"/>
            <w:vAlign w:val="center"/>
          </w:tcPr>
          <w:p w14:paraId="14D16320" w14:textId="28E9CCC7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19" w:type="dxa"/>
            <w:vAlign w:val="center"/>
          </w:tcPr>
          <w:p w14:paraId="3FD46C83" w14:textId="72584FEC" w:rsidR="00246FD0" w:rsidRPr="000B3813" w:rsidRDefault="00246FD0" w:rsidP="00246FD0">
            <w:pPr>
              <w:rPr>
                <w:sz w:val="16"/>
                <w:szCs w:val="16"/>
              </w:rPr>
            </w:pPr>
            <w:hyperlink r:id="rId11" w:history="1">
              <w:r w:rsidRPr="009A14EE">
                <w:rPr>
                  <w:rStyle w:val="Hyperlink"/>
                  <w:sz w:val="16"/>
                  <w:szCs w:val="16"/>
                </w:rPr>
                <w:t>Decreto nº 11.246, de 27 de outubro de 2022</w:t>
              </w:r>
            </w:hyperlink>
          </w:p>
        </w:tc>
        <w:tc>
          <w:tcPr>
            <w:tcW w:w="11198" w:type="dxa"/>
            <w:vAlign w:val="center"/>
          </w:tcPr>
          <w:p w14:paraId="4B078748" w14:textId="20EAFEF0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disposto no § 3º do art. 8º da Lei nº 14.133/2021, para dispor sobre as regras para a atuação do agente de contratação e da equipe de apoio, o funcionamento da comissão de contratação e a atuação dos gestores e fiscais de contratos, no âmbito da administração pública federal direta, autárquica e fundacional.</w:t>
            </w:r>
          </w:p>
        </w:tc>
      </w:tr>
      <w:tr w:rsidR="00246FD0" w:rsidRPr="000B3813" w14:paraId="603264DB" w14:textId="77777777" w:rsidTr="00150D60">
        <w:tc>
          <w:tcPr>
            <w:tcW w:w="704" w:type="dxa"/>
            <w:vAlign w:val="center"/>
          </w:tcPr>
          <w:p w14:paraId="282180B2" w14:textId="3BA1308B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19" w:type="dxa"/>
            <w:vAlign w:val="center"/>
          </w:tcPr>
          <w:p w14:paraId="2852EF21" w14:textId="62DD6C14" w:rsidR="00246FD0" w:rsidRPr="000B3813" w:rsidRDefault="00246FD0" w:rsidP="00246FD0">
            <w:pPr>
              <w:rPr>
                <w:sz w:val="16"/>
                <w:szCs w:val="16"/>
              </w:rPr>
            </w:pPr>
            <w:hyperlink r:id="rId12" w:history="1">
              <w:r w:rsidRPr="009A14EE">
                <w:rPr>
                  <w:rStyle w:val="Hyperlink"/>
                  <w:sz w:val="16"/>
                  <w:szCs w:val="16"/>
                </w:rPr>
                <w:t>Decreto nº 10.947, de 25 de janeiro de 2022</w:t>
              </w:r>
            </w:hyperlink>
          </w:p>
        </w:tc>
        <w:tc>
          <w:tcPr>
            <w:tcW w:w="11198" w:type="dxa"/>
            <w:vAlign w:val="center"/>
          </w:tcPr>
          <w:p w14:paraId="443FD746" w14:textId="7B69E741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inciso VII do caput do art. 12 da Lei nº 14.133/ 2021, para dispor sobre o plano de contratações anual e instituir o Sistema de Planejamento e Gerenciamento de Contratações no âmbito da administração pública federal direta, autárquica e fundacional.</w:t>
            </w:r>
          </w:p>
        </w:tc>
      </w:tr>
      <w:tr w:rsidR="00246FD0" w:rsidRPr="000B3813" w14:paraId="085FA2A2" w14:textId="77777777" w:rsidTr="00150D60">
        <w:tc>
          <w:tcPr>
            <w:tcW w:w="704" w:type="dxa"/>
            <w:vAlign w:val="center"/>
          </w:tcPr>
          <w:p w14:paraId="085409E4" w14:textId="5CA7D55F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19" w:type="dxa"/>
            <w:vAlign w:val="center"/>
          </w:tcPr>
          <w:p w14:paraId="38B55277" w14:textId="77777777" w:rsidR="00246FD0" w:rsidRPr="000B3813" w:rsidRDefault="00246FD0" w:rsidP="00246FD0">
            <w:pPr>
              <w:rPr>
                <w:sz w:val="16"/>
                <w:szCs w:val="16"/>
              </w:rPr>
            </w:pPr>
            <w:hyperlink r:id="rId13" w:history="1">
              <w:r w:rsidRPr="008C4024">
                <w:rPr>
                  <w:rStyle w:val="Hyperlink"/>
                  <w:sz w:val="16"/>
                  <w:szCs w:val="16"/>
                </w:rPr>
                <w:t>Decreto nº 35.592, de 02 de julho 2014</w:t>
              </w:r>
            </w:hyperlink>
          </w:p>
          <w:p w14:paraId="1B0C2BA0" w14:textId="2D823F5D" w:rsidR="00246FD0" w:rsidRPr="000B3813" w:rsidRDefault="00246FD0" w:rsidP="00246FD0">
            <w:pPr>
              <w:rPr>
                <w:sz w:val="16"/>
                <w:szCs w:val="16"/>
              </w:rPr>
            </w:pPr>
          </w:p>
        </w:tc>
        <w:tc>
          <w:tcPr>
            <w:tcW w:w="11198" w:type="dxa"/>
            <w:vAlign w:val="center"/>
          </w:tcPr>
          <w:p w14:paraId="3626C4FB" w14:textId="1F2982AA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tratamento preferencial e simplificado nas contratações públicas das microempresas, empresas de pequeno porte e microempreendedores individuais, estabelece regras para a elaboração do Plano Anual de Contratações Públicas para ampliação da participação das denominadas entidades preferenciais, e dá outras providências.</w:t>
            </w:r>
          </w:p>
        </w:tc>
      </w:tr>
      <w:tr w:rsidR="00246FD0" w:rsidRPr="000B3813" w14:paraId="30426233" w14:textId="77777777" w:rsidTr="00150D60">
        <w:tc>
          <w:tcPr>
            <w:tcW w:w="704" w:type="dxa"/>
            <w:vAlign w:val="center"/>
          </w:tcPr>
          <w:p w14:paraId="625CA254" w14:textId="7B44AC57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19" w:type="dxa"/>
            <w:vAlign w:val="center"/>
          </w:tcPr>
          <w:p w14:paraId="16CC6602" w14:textId="55A64F2C" w:rsidR="00246FD0" w:rsidRPr="000B3813" w:rsidRDefault="00246FD0" w:rsidP="00246FD0">
            <w:pPr>
              <w:rPr>
                <w:sz w:val="16"/>
                <w:szCs w:val="16"/>
              </w:rPr>
            </w:pPr>
            <w:hyperlink r:id="rId14" w:history="1">
              <w:r w:rsidRPr="009A14EE">
                <w:rPr>
                  <w:rStyle w:val="Hyperlink"/>
                  <w:sz w:val="16"/>
                  <w:szCs w:val="16"/>
                </w:rPr>
                <w:t>Decreto nº 28.754, de 31 de janeiro de 2008</w:t>
              </w:r>
            </w:hyperlink>
          </w:p>
        </w:tc>
        <w:tc>
          <w:tcPr>
            <w:tcW w:w="11198" w:type="dxa"/>
            <w:vAlign w:val="center"/>
          </w:tcPr>
          <w:p w14:paraId="4383BEFA" w14:textId="683832D5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Exclui da Central de Compras as licitações de serviços da entidade que especifica e dá outras providências.</w:t>
            </w:r>
          </w:p>
        </w:tc>
      </w:tr>
      <w:tr w:rsidR="00246FD0" w:rsidRPr="000B3813" w14:paraId="0E15D4E5" w14:textId="77777777" w:rsidTr="00150D60">
        <w:tc>
          <w:tcPr>
            <w:tcW w:w="704" w:type="dxa"/>
            <w:vAlign w:val="center"/>
          </w:tcPr>
          <w:p w14:paraId="7DBE0F26" w14:textId="60937934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19" w:type="dxa"/>
            <w:vAlign w:val="center"/>
          </w:tcPr>
          <w:p w14:paraId="7F580FB9" w14:textId="6BDB61C6" w:rsidR="00246FD0" w:rsidRPr="000B3813" w:rsidRDefault="00246FD0" w:rsidP="00246FD0">
            <w:pPr>
              <w:rPr>
                <w:sz w:val="16"/>
                <w:szCs w:val="16"/>
              </w:rPr>
            </w:pPr>
            <w:hyperlink r:id="rId15" w:history="1">
              <w:r w:rsidRPr="009A14EE">
                <w:rPr>
                  <w:rStyle w:val="Hyperlink"/>
                  <w:sz w:val="16"/>
                  <w:szCs w:val="16"/>
                </w:rPr>
                <w:t>SEEDF - Portaria nº 1.068, de 26 de agosto de 2024</w:t>
              </w:r>
            </w:hyperlink>
          </w:p>
        </w:tc>
        <w:tc>
          <w:tcPr>
            <w:tcW w:w="11198" w:type="dxa"/>
            <w:vAlign w:val="center"/>
          </w:tcPr>
          <w:p w14:paraId="35BF7C71" w14:textId="5A42DFB1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procedimentos para apuração de responsabilidade e aplicação das sanções administrativas a licitantes e contratados no âmbito da Secretaria de Estado de Educação do Distrito Federal.</w:t>
            </w:r>
          </w:p>
        </w:tc>
      </w:tr>
    </w:tbl>
    <w:p w14:paraId="708A84DF" w14:textId="77777777" w:rsidR="008F1F16" w:rsidRDefault="008F1F16"/>
    <w:p w14:paraId="55B95706" w14:textId="77777777" w:rsidR="00246FD0" w:rsidRDefault="00246FD0"/>
    <w:tbl>
      <w:tblPr>
        <w:tblStyle w:val="Tabelacomgrade"/>
        <w:tblW w:w="15021" w:type="dxa"/>
        <w:tblLook w:val="04A0" w:firstRow="1" w:lastRow="0" w:firstColumn="1" w:lastColumn="0" w:noHBand="0" w:noVBand="1"/>
        <w:tblCaption w:val="Referências"/>
      </w:tblPr>
      <w:tblGrid>
        <w:gridCol w:w="704"/>
        <w:gridCol w:w="3119"/>
        <w:gridCol w:w="11198"/>
      </w:tblGrid>
      <w:tr w:rsidR="00246FD0" w:rsidRPr="000B3813" w14:paraId="5AC4FEA9" w14:textId="77777777" w:rsidTr="00182802">
        <w:tc>
          <w:tcPr>
            <w:tcW w:w="15021" w:type="dxa"/>
            <w:gridSpan w:val="3"/>
            <w:vAlign w:val="center"/>
          </w:tcPr>
          <w:p w14:paraId="2620FE35" w14:textId="48945864" w:rsidR="00246FD0" w:rsidRPr="000B3813" w:rsidRDefault="00246FD0" w:rsidP="001828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Referências</w:t>
            </w:r>
          </w:p>
        </w:tc>
      </w:tr>
      <w:tr w:rsidR="00246FD0" w:rsidRPr="000B3813" w14:paraId="3F15CAC9" w14:textId="77777777" w:rsidTr="00182802">
        <w:tc>
          <w:tcPr>
            <w:tcW w:w="704" w:type="dxa"/>
            <w:vAlign w:val="center"/>
          </w:tcPr>
          <w:p w14:paraId="42B2731C" w14:textId="5C58956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52F6E106" w14:textId="644FBEE4" w:rsidR="00246FD0" w:rsidRDefault="00246FD0" w:rsidP="00246FD0">
            <w:pPr>
              <w:rPr>
                <w:sz w:val="16"/>
                <w:szCs w:val="16"/>
              </w:rPr>
            </w:pPr>
            <w:hyperlink r:id="rId16" w:history="1">
              <w:r w:rsidRPr="008C4024">
                <w:rPr>
                  <w:rStyle w:val="Hyperlink"/>
                  <w:sz w:val="16"/>
                  <w:szCs w:val="16"/>
                </w:rPr>
                <w:t>Agenda 2030 para o Desenvolvimento Sustentável</w:t>
              </w:r>
            </w:hyperlink>
          </w:p>
        </w:tc>
        <w:tc>
          <w:tcPr>
            <w:tcW w:w="11198" w:type="dxa"/>
            <w:vAlign w:val="center"/>
          </w:tcPr>
          <w:p w14:paraId="64237393" w14:textId="625B1C46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Agenda Universal 2030 desenvolvida pela ONU, que traz os 17 Objetivos de Desenvolvimento Sustentável - ODS que contemplam 169 metas e que </w:t>
            </w:r>
            <w:r w:rsidRPr="00217452">
              <w:rPr>
                <w:sz w:val="16"/>
                <w:szCs w:val="16"/>
              </w:rPr>
              <w:t>equilibram as três dimensões do desenvolvimento sustentável: a econômica, a social e a ambiental.</w:t>
            </w:r>
          </w:p>
        </w:tc>
      </w:tr>
      <w:tr w:rsidR="00246FD0" w:rsidRPr="000B3813" w14:paraId="029C876B" w14:textId="77777777" w:rsidTr="00182802">
        <w:tc>
          <w:tcPr>
            <w:tcW w:w="704" w:type="dxa"/>
            <w:vAlign w:val="center"/>
          </w:tcPr>
          <w:p w14:paraId="764E0A6C" w14:textId="3848A897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2AF2C753" w14:textId="77777777" w:rsidR="00246FD0" w:rsidRPr="009A14EE" w:rsidRDefault="00246FD0" w:rsidP="00246FD0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HYPERLINK "https://www.pg.df.gov.br/wp-conteudo/uploads/2020/03/REF.0061.2024SEI.pdf"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9A14EE">
              <w:rPr>
                <w:rStyle w:val="Hyperlink"/>
                <w:sz w:val="16"/>
                <w:szCs w:val="16"/>
              </w:rPr>
              <w:t xml:space="preserve">GDF - Parecer Referencial SEI-GDF n.º 061/2024 - PGDF/PGCONS </w:t>
            </w:r>
          </w:p>
          <w:p w14:paraId="3ED578D2" w14:textId="77777777" w:rsidR="00246FD0" w:rsidRPr="000B3813" w:rsidRDefault="00246FD0" w:rsidP="00246FD0">
            <w:pPr>
              <w:rPr>
                <w:sz w:val="16"/>
                <w:szCs w:val="16"/>
              </w:rPr>
            </w:pPr>
            <w:r w:rsidRPr="009A14EE">
              <w:rPr>
                <w:rStyle w:val="Hyperlink"/>
                <w:sz w:val="16"/>
                <w:szCs w:val="16"/>
              </w:rPr>
              <w:t>Processo n.º   00020-00026052/2023-36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198" w:type="dxa"/>
            <w:vAlign w:val="center"/>
          </w:tcPr>
          <w:p w14:paraId="1E88D693" w14:textId="77777777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Parecer referencial sobre os temas “contratação direta para fornecimento de periódicos” e “contratação direta para a participação de servidores em curso aberto de treinamento e aperfeiçoamento de pessoal”.</w:t>
            </w:r>
          </w:p>
        </w:tc>
      </w:tr>
      <w:tr w:rsidR="00246FD0" w:rsidRPr="000B3813" w14:paraId="499B09AB" w14:textId="77777777" w:rsidTr="00182802">
        <w:tc>
          <w:tcPr>
            <w:tcW w:w="704" w:type="dxa"/>
            <w:vAlign w:val="center"/>
          </w:tcPr>
          <w:p w14:paraId="3F82A40F" w14:textId="0A45673F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11DC9BAF" w14:textId="77777777" w:rsidR="00246FD0" w:rsidRPr="002878C9" w:rsidRDefault="00246FD0" w:rsidP="00246FD0">
            <w:pPr>
              <w:rPr>
                <w:sz w:val="16"/>
                <w:szCs w:val="16"/>
              </w:rPr>
            </w:pPr>
            <w:hyperlink r:id="rId17" w:history="1">
              <w:r w:rsidRPr="008C4024">
                <w:rPr>
                  <w:rStyle w:val="Hyperlink"/>
                  <w:sz w:val="16"/>
                  <w:szCs w:val="16"/>
                </w:rPr>
                <w:t>Plano Estratégico Institucional SEE-DF 2023 - 2027</w:t>
              </w:r>
            </w:hyperlink>
          </w:p>
        </w:tc>
        <w:tc>
          <w:tcPr>
            <w:tcW w:w="11198" w:type="dxa"/>
            <w:vAlign w:val="center"/>
          </w:tcPr>
          <w:p w14:paraId="574D3FF2" w14:textId="77777777" w:rsidR="00246FD0" w:rsidRPr="002878C9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Traz os </w:t>
            </w:r>
            <w:r w:rsidRPr="00D267C2">
              <w:rPr>
                <w:sz w:val="16"/>
                <w:szCs w:val="16"/>
              </w:rPr>
              <w:t>15 (quinze) objetivos estratégicos,</w:t>
            </w:r>
            <w:r>
              <w:rPr>
                <w:sz w:val="16"/>
                <w:szCs w:val="16"/>
              </w:rPr>
              <w:t xml:space="preserve"> delineados pelo Plano Estratégico Institucional da Secretaria de Estado de Educação para 2023 – 2027.</w:t>
            </w:r>
          </w:p>
        </w:tc>
      </w:tr>
    </w:tbl>
    <w:p w14:paraId="79AE1322" w14:textId="02207D8D" w:rsidR="00246FD0" w:rsidRDefault="00246FD0">
      <w:r>
        <w:tab/>
      </w:r>
    </w:p>
    <w:sectPr w:rsidR="00246FD0" w:rsidSect="003F50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9"/>
    <w:rsid w:val="0010260D"/>
    <w:rsid w:val="00246FD0"/>
    <w:rsid w:val="003F5070"/>
    <w:rsid w:val="00773EDF"/>
    <w:rsid w:val="008C4024"/>
    <w:rsid w:val="008F1F16"/>
    <w:rsid w:val="009A14EE"/>
    <w:rsid w:val="00B715F6"/>
    <w:rsid w:val="00C06C51"/>
    <w:rsid w:val="00E67719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0544"/>
  <w15:chartTrackingRefBased/>
  <w15:docId w15:val="{7D08047D-5F79-4DEE-B798-7C2D3607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9"/>
  </w:style>
  <w:style w:type="paragraph" w:styleId="Ttulo1">
    <w:name w:val="heading 1"/>
    <w:basedOn w:val="Normal"/>
    <w:next w:val="Normal"/>
    <w:link w:val="Ttulo1Char"/>
    <w:uiPriority w:val="9"/>
    <w:qFormat/>
    <w:rsid w:val="00E6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7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677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j.df.gov.br/sinj/Norma/70610/Lei_4770_22_02_2012.html" TargetMode="External"/><Relationship Id="rId13" Type="http://schemas.openxmlformats.org/officeDocument/2006/relationships/hyperlink" Target="https://www.sinj.df.gov.br/sinj/Norma/77172/Decreto_35592_02_07_2014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lanalto.gov.br/ccivil_03/leis/l8078compilado.htm" TargetMode="External"/><Relationship Id="rId12" Type="http://schemas.openxmlformats.org/officeDocument/2006/relationships/hyperlink" Target="https://www.planalto.gov.br/ccivil_03/_ato2019-2022/2022/decreto/D10947.htm" TargetMode="External"/><Relationship Id="rId17" Type="http://schemas.openxmlformats.org/officeDocument/2006/relationships/hyperlink" Target="https://www.educacao.df.gov.br/wp-conteudo/uploads/2021/05/PEI-2023-2027_18jul2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rasil.un.org/sites/default/files/2020-09/agenda2030-pt-br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LEIS/L9784.htm" TargetMode="External"/><Relationship Id="rId11" Type="http://schemas.openxmlformats.org/officeDocument/2006/relationships/hyperlink" Target="https://www.planalto.gov.br/ccivil_03/_ato2019-2022/2022/decreto/d11246.htm" TargetMode="External"/><Relationship Id="rId5" Type="http://schemas.openxmlformats.org/officeDocument/2006/relationships/hyperlink" Target="https://www.sinj.df.gov.br/sinj/Norma/69028/Lei_4611_09_08_2011.html" TargetMode="External"/><Relationship Id="rId15" Type="http://schemas.openxmlformats.org/officeDocument/2006/relationships/hyperlink" Target="https://www.sinj.df.gov.br/sinj/Norma/70610/Lei_4770_22_02_2012.html" TargetMode="External"/><Relationship Id="rId10" Type="http://schemas.openxmlformats.org/officeDocument/2006/relationships/hyperlink" Target="https://www.planalto.gov.br/ccivil_03/_ato2019-2022/2022/decreto/D10947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planalto.gov.br/ccivil_03/_Ato2019-2022/2021/Lei/L14133.htm" TargetMode="External"/><Relationship Id="rId9" Type="http://schemas.openxmlformats.org/officeDocument/2006/relationships/hyperlink" Target="https://www.sinj.df.gov.br/sinj/Norma/69028/Lei_4611_09_08_2011.html" TargetMode="External"/><Relationship Id="rId14" Type="http://schemas.openxmlformats.org/officeDocument/2006/relationships/hyperlink" Target="https://www.sinj.df.gov.br/sinj/Norma/57066/exec_dec_28754_2008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Lopes</dc:creator>
  <cp:keywords/>
  <dc:description/>
  <cp:lastModifiedBy>Márcio Lopes</cp:lastModifiedBy>
  <cp:revision>6</cp:revision>
  <dcterms:created xsi:type="dcterms:W3CDTF">2025-06-30T01:21:00Z</dcterms:created>
  <dcterms:modified xsi:type="dcterms:W3CDTF">2025-06-30T02:02:00Z</dcterms:modified>
</cp:coreProperties>
</file>