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AUDIT APPROFONDI &amp; PLAN D'AMÉLIORATIONS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Modules ETF PEA Analyzer — V21.18.1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Référentiel global multi-critères  •  Commit 49c53d8  •  21 août 2026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 document présente l'audit approfondi des trois livrables fournis et propose, fichier par fichier, les corrections prioritaires ainsi que les améliorations de performance, de robustesse, de maintenabilité et de gouvernance à développer.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Périmètre audité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trois artefacts analysés sont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CAHIER_DES_CHARGES_ETF_V21_18_1_GLOBAL_ACTUALISE.docx — Spécification fonctionnelle et gouvernance du référentiel ETF.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REFERENTIEL_ETF_V21_18_1_ETENDU_ACTUALISE.xlsx — Inventaire quantitatif des critères, poids, drivers, taxonomie et statuts.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ETF_CODE_PYTHON_ET_MODULES_ASSOCIES_V21_18_1_ACTUALISE.zip — Code source Python (src/v182), configs, tests et artefacts d'audit (≈288 fichiers).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L'audit porte sur la cohérence inter-artefacts, la complétude documentaire, la qualité d'implémentation, les goulots de performance, les risques de gouvernance et les axes d'évolution pour rendre les modules plus performants (précision, robustesse, latence, maintenabilité, couverture).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Fichier 1 — Cahier des charges (DOCX)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Points forts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Cadrage clair du socle à 268 critères vs sous-noyaux moteurs (MT historique, CT/LT).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Gouvernance explicite : T1/T2 interdits, PIT obligatoire, fail-closed, holdout fermé, ordres réels 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Architecture en couches (technique, structure, top-down, rotation, flows, benchmark, risque, satellites) bien distinguée.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Règle de communication (section 15) qui évite la confusion de périmètre.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Corrections prioritaires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Inventaire exhaustif des 268 critères de socle manquant.</w:t>
      </w:r>
      <w:r>
        <w:rPr>
          <w:rFonts w:ascii="Arial" w:cs="Arial" w:eastAsia="Arial" w:hAnsi="Arial"/>
          <w:sz w:val="20"/>
          <w:szCs w:val="20"/>
        </w:rPr>
        <w:t xml:space="preserve"> Le document affirme 268 critères mais n'en liste aucun. Ajouter une annexe ou un lien vers le référentiel maître (xlsx ou registry code) avec ID, famille, horizon, direction, source, statut PIT.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Ambiguïté sur le statut « Actif selon moteur » vs « Shadow ».</w:t>
      </w:r>
      <w:r>
        <w:rPr>
          <w:rFonts w:ascii="Arial" w:cs="Arial" w:eastAsia="Arial" w:hAnsi="Arial"/>
          <w:sz w:val="20"/>
          <w:szCs w:val="20"/>
        </w:rPr>
        <w:t xml:space="preserve"> Clarifier pour chaque bloc le mode d'influence (score positif, anti-chase, contexte pure, bloquant). Introduire une matrice d'influence décisionnelle formalisée.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Benchmarks 52/102 et tracking bloqué.</w:t>
      </w:r>
      <w:r>
        <w:rPr>
          <w:rFonts w:ascii="Arial" w:cs="Arial" w:eastAsia="Arial" w:hAnsi="Arial"/>
          <w:sz w:val="20"/>
          <w:szCs w:val="20"/>
        </w:rPr>
        <w:t xml:space="preserve"> Documenter le plan de levée de blocage (critères d'acceptation exact-ISIN, mapping séries prix, validation OOS) avec jalons et owners.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Overlays Morningstar/SRI : règles partielles.</w:t>
      </w:r>
      <w:r>
        <w:rPr>
          <w:rFonts w:ascii="Arial" w:cs="Arial" w:eastAsia="Arial" w:hAnsi="Arial"/>
          <w:sz w:val="20"/>
          <w:szCs w:val="20"/>
        </w:rPr>
        <w:t xml:space="preserve"> Spécifier le comportement exact pour 1–2 étoiles, SRI 1–5, et l'interaction avec le score composite (plafond, floor, ordre d'application).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Entry/Exit V21.8 citée sans détail.</w:t>
      </w:r>
      <w:r>
        <w:rPr>
          <w:rFonts w:ascii="Arial" w:cs="Arial" w:eastAsia="Arial" w:hAnsi="Arial"/>
          <w:sz w:val="20"/>
          <w:szCs w:val="20"/>
        </w:rPr>
        <w:t xml:space="preserve"> Soit incorporer le résumé des règles d'autorité, soit pointer explicitement le document source versionné et le commit de référence.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Améliorations de performance / robustesse à développer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Matrice d'influence décisionnelle (Decision Influence Matrix).</w:t>
      </w:r>
      <w:r>
        <w:rPr>
          <w:rFonts w:ascii="Arial" w:cs="Arial" w:eastAsia="Arial" w:hAnsi="Arial"/>
          <w:sz w:val="20"/>
          <w:szCs w:val="20"/>
        </w:rPr>
        <w:t xml:space="preserve"> Pour chaque couche : poids max, mode (score / gate / contexte / satellite), condition de promotion shadow→live, métriques OOS minimales. Cela accélère les décisions de go-live et réduit les risques de dérive.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Catalogue machine-readable des 268 critères.</w:t>
      </w:r>
      <w:r>
        <w:rPr>
          <w:rFonts w:ascii="Arial" w:cs="Arial" w:eastAsia="Arial" w:hAnsi="Arial"/>
          <w:sz w:val="20"/>
          <w:szCs w:val="20"/>
        </w:rPr>
        <w:t xml:space="preserve"> Générer automatiquement depuis le code (registry + configs) un CSV/JSON versionné, et le référencer dans le CDC. Évite la divergence document/code.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Définition formelle des « preuves » PIT.</w:t>
      </w:r>
      <w:r>
        <w:rPr>
          <w:rFonts w:ascii="Arial" w:cs="Arial" w:eastAsia="Arial" w:hAnsi="Arial"/>
          <w:sz w:val="20"/>
          <w:szCs w:val="20"/>
        </w:rPr>
        <w:t xml:space="preserve"> Schéma de preuve (timestamp, source, hash, lag max autorisé, statut A/B/C/D) et règles de rejet automatique. Renforce l'anti-lookahead et la reproductibilité.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 « Performance opérationnelle ».</w:t>
      </w:r>
      <w:r>
        <w:rPr>
          <w:rFonts w:ascii="Arial" w:cs="Arial" w:eastAsia="Arial" w:hAnsi="Arial"/>
          <w:sz w:val="20"/>
          <w:szCs w:val="20"/>
        </w:rPr>
        <w:t xml:space="preserve"> SLA cibles : latence daily run, couverture minimale par ligne (déjà 70 %), taux de fail-closed acceptable, budget CPU/mémoire. Permet de prioriser les optimisations code.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Roadmap de promotion des couches shadow.</w:t>
      </w:r>
      <w:r>
        <w:rPr>
          <w:rFonts w:ascii="Arial" w:cs="Arial" w:eastAsia="Arial" w:hAnsi="Arial"/>
          <w:sz w:val="20"/>
          <w:szCs w:val="20"/>
        </w:rPr>
        <w:t xml:space="preserve"> Critères quantitatifs (IR, turnover, drawdown, hit-rate vs baseline) et protocole OOS/PIT pour rotation, flows, CT/LT. Réduit le temps de cycle shadow→live.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Glossaire unifié.</w:t>
      </w:r>
      <w:r>
        <w:rPr>
          <w:rFonts w:ascii="Arial" w:cs="Arial" w:eastAsia="Arial" w:hAnsi="Arial"/>
          <w:sz w:val="20"/>
          <w:szCs w:val="20"/>
        </w:rPr>
        <w:t xml:space="preserve"> RLS, RARS, AVCR, DQS, SRFS, EFS, etc. définis une fois pour toutes avec formules de haut niveau. Améliore l'onboarding et la cohérence inter-équipes.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Fichier 2 — Référentiel étendu (XLSX)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Points forts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Structure en 9 onglets clairs (Synthèse, Architecture, Rotation, Drivers, MT, CT/LT, TopDown, Gouvernance, Correction).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Poids historiques MT normalisés (somme ≈ 1.0) et direction (HIGH/LOW/NONLINEAR) documentés.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76 drivers sectoriels et 37 composants de scoring rotation explicitement listés.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Correction de cadrage V21.18.1 bien formalisée (onglet 08).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Corrections prioritaires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Absence de la liste des 268 critères de socle.</w:t>
      </w:r>
      <w:r>
        <w:rPr>
          <w:rFonts w:ascii="Arial" w:cs="Arial" w:eastAsia="Arial" w:hAnsi="Arial"/>
          <w:sz w:val="20"/>
          <w:szCs w:val="20"/>
        </w:rPr>
        <w:t xml:space="preserve"> L'xlsx ne contient que le sous-noyau MT (~38 critères) + CT/LT + top-down. Ajouter un onglet « Socle_268 » avec colonnes : criterion_id, family, horizon, direction, weight_default, source, pit_required, status.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Poids CT/LT non normalisés et hétérogènes.</w:t>
      </w:r>
      <w:r>
        <w:rPr>
          <w:rFonts w:ascii="Arial" w:cs="Arial" w:eastAsia="Arial" w:hAnsi="Arial"/>
          <w:sz w:val="20"/>
          <w:szCs w:val="20"/>
        </w:rPr>
        <w:t xml:space="preserve"> Les poids CT (ex. perf_1m_pct = 0.19) et LT ne somment pas à 1. Documenter si ce sont des poids relatifs, des coefficients bruts ou des contributions. Ajouter une colonne « poids_normalisé » et une ligne TOTAL.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Taxonomie 71 nœuds et 35 règles mapping absentes en détail.</w:t>
      </w:r>
      <w:r>
        <w:rPr>
          <w:rFonts w:ascii="Arial" w:cs="Arial" w:eastAsia="Arial" w:hAnsi="Arial"/>
          <w:sz w:val="20"/>
          <w:szCs w:val="20"/>
        </w:rPr>
        <w:t xml:space="preserve"> Les configs CSV existent dans le zip ; les synchroniser dans l'xlsx (ou générer l'xlsx depuis les configs) pour garantir une source unique de vérité.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 de traçabilité version / hash / commit par onglet.</w:t>
      </w:r>
      <w:r>
        <w:rPr>
          <w:rFonts w:ascii="Arial" w:cs="Arial" w:eastAsia="Arial" w:hAnsi="Arial"/>
          <w:sz w:val="20"/>
          <w:szCs w:val="20"/>
        </w:rPr>
        <w:t xml:space="preserve"> Ajouter un onglet « Metadata » avec commit, date, auteur, checksum des configs sources.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Drivers sectoriels : pas de mapping ETF → secteur → drivers actifs.</w:t>
      </w:r>
      <w:r>
        <w:rPr>
          <w:rFonts w:ascii="Arial" w:cs="Arial" w:eastAsia="Arial" w:hAnsi="Arial"/>
          <w:sz w:val="20"/>
          <w:szCs w:val="20"/>
        </w:rPr>
        <w:t xml:space="preserve"> Sans cette table, l'utilisation opérationnelle des 76 drivers reste théorique. Ajouter un onglet de couverture (instrument_id / theme / drivers applicables).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Améliorations de performance à développer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Génération automatique de l'xlsx depuis le registry code + configs JSON/CSV.</w:t>
      </w:r>
      <w:r>
        <w:rPr>
          <w:rFonts w:ascii="Arial" w:cs="Arial" w:eastAsia="Arial" w:hAnsi="Arial"/>
          <w:sz w:val="20"/>
          <w:szCs w:val="20"/>
        </w:rPr>
        <w:t xml:space="preserve"> Pipeline CI qui produit le référentiel à chaque tag. Élimine les divergences manuelles et accélère les releases.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Onglet « Coverage &amp; Quality ».</w:t>
      </w:r>
      <w:r>
        <w:rPr>
          <w:rFonts w:ascii="Arial" w:cs="Arial" w:eastAsia="Arial" w:hAnsi="Arial"/>
          <w:sz w:val="20"/>
          <w:szCs w:val="20"/>
        </w:rPr>
        <w:t xml:space="preserve"> Pour chaque critère : % de couverture sur l'univers PEA, taux de NaN, latence source, grade de confiance moyen. Permet de prioriser les collectes et d'optimiser le score de couverture 70 %.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Matrice de corrélation inter-critères (échantillon).</w:t>
      </w:r>
      <w:r>
        <w:rPr>
          <w:rFonts w:ascii="Arial" w:cs="Arial" w:eastAsia="Arial" w:hAnsi="Arial"/>
          <w:sz w:val="20"/>
          <w:szCs w:val="20"/>
        </w:rPr>
        <w:t xml:space="preserve"> Identifier redondances (ex. perf_3m / relative_strength_6m) pour éventuelle compression du socle ou pondération orthogonalisée, améliorant la stabilité du score composite.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Colonnes d'impact performance.</w:t>
      </w:r>
      <w:r>
        <w:rPr>
          <w:rFonts w:ascii="Arial" w:cs="Arial" w:eastAsia="Arial" w:hAnsi="Arial"/>
          <w:sz w:val="20"/>
          <w:szCs w:val="20"/>
        </w:rPr>
        <w:t xml:space="preserve"> Coût de calcul estimé (ms/instrument), dépendance réseau (yes/no), cacheabilité. Oriente les optimisations (vectorisation, pre-compute, batch).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Versioning sémantique des poids.</w:t>
      </w:r>
      <w:r>
        <w:rPr>
          <w:rFonts w:ascii="Arial" w:cs="Arial" w:eastAsia="Arial" w:hAnsi="Arial"/>
          <w:sz w:val="20"/>
          <w:szCs w:val="20"/>
        </w:rPr>
        <w:t xml:space="preserve"> Historique des changements de poids MT/CT/LT avec justification et impact backtest. Facilite le rollback et l'analyse de sensibilité.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Fichier 3 — Code Python &amp; modules associés (ZIP)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Points forts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Architecture modulaire claire (features/, decision/, reporting/, audit/, backtest/, mapping/, tests/).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Gouvernance hardcodée stricte (benchmark tracking refuse toute dérive, decision_influence = 0, T1/T2 hors scope).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Fail-closed et PIT présents dans de nombreux tests (sector_rotation_v2_pit_oos, provenance, temporal integrity).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Couverture de tests significative sur flows, structure, rotation, MT, CT/LT, top-down.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Configs externalisées (JSON/CSV) permettant de changer poids/règles sans toucher le code.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Corrections prioritaires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Tracking error toujours bloqué (0 mapping séries prix validés).</w:t>
      </w:r>
      <w:r>
        <w:rPr>
          <w:rFonts w:ascii="Arial" w:cs="Arial" w:eastAsia="Arial" w:hAnsi="Arial"/>
          <w:sz w:val="20"/>
          <w:szCs w:val="20"/>
        </w:rPr>
        <w:t xml:space="preserve"> Priorité absolue : valider et versionner le price map (ETF_BENCHMARK_PRICE_MAP), lever le flag tracking_error_computation_enabled uniquement après preuves OOS. Sans cela, le contrôle de qualité de réplication reste inopérant.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Divergence potentielle document ↔ code sur le nombre de critères.</w:t>
      </w:r>
      <w:r>
        <w:rPr>
          <w:rFonts w:ascii="Arial" w:cs="Arial" w:eastAsia="Arial" w:hAnsi="Arial"/>
          <w:sz w:val="20"/>
          <w:szCs w:val="20"/>
        </w:rPr>
        <w:t xml:space="preserve"> Implémenter un registry central (ex. CRITERION_REGISTRY) listant les 268 IDs et un test d'intégrité qui échoue si le code expose moins/plus. Aligner CDC et xlsx.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Modules shadow (rotation, flows, CT/LT) sans chemin de promotion automatisé.</w:t>
      </w:r>
      <w:r>
        <w:rPr>
          <w:rFonts w:ascii="Arial" w:cs="Arial" w:eastAsia="Arial" w:hAnsi="Arial"/>
          <w:sz w:val="20"/>
          <w:szCs w:val="20"/>
        </w:rPr>
        <w:t xml:space="preserve"> Ajouter un protocole de promotion (config flag + validation suite PIT/OOS + gate CI) pour éviter les activations manuelles risquées.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etf_fund_flows_v1.py : logique dense, helpers nombreux, risque de duplication.</w:t>
      </w:r>
      <w:r>
        <w:rPr>
          <w:rFonts w:ascii="Arial" w:cs="Arial" w:eastAsia="Arial" w:hAnsi="Arial"/>
          <w:sz w:val="20"/>
          <w:szCs w:val="20"/>
        </w:rPr>
        <w:t xml:space="preserve"> Factoriser les utilitaires (_num, _rank_score, _weighted_mean, confidence) dans un module shared/ pour réutilisation et tests unitaires isolés.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Absence de profiling / budgets de latence dans le code.</w:t>
      </w:r>
      <w:r>
        <w:rPr>
          <w:rFonts w:ascii="Arial" w:cs="Arial" w:eastAsia="Arial" w:hAnsi="Arial"/>
          <w:sz w:val="20"/>
          <w:szCs w:val="20"/>
        </w:rPr>
        <w:t xml:space="preserve"> Introduire des timers structurés (context managers) et des alertes si un feature dépasse un seuil configurable. Nécessaire pour un daily run scalable.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Améliorations de performance à développer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4.3.1 Performance de calcul (latence / throughput)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Vectorisation systématique (pandas/numpy).</w:t>
      </w:r>
      <w:r>
        <w:rPr>
          <w:rFonts w:ascii="Arial" w:cs="Arial" w:eastAsia="Arial" w:hAnsi="Arial"/>
          <w:sz w:val="20"/>
          <w:szCs w:val="20"/>
        </w:rPr>
        <w:t xml:space="preserve"> Remplacer les boucles Python row-by-row (observées dans fund_flows et benchmark) par des opérations vectorisées ou groupby. Gain attendu : 5–20× sur univers 100–300 ETF.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Cache incrémental OHLCV et structure state.</w:t>
      </w:r>
      <w:r>
        <w:rPr>
          <w:rFonts w:ascii="Arial" w:cs="Arial" w:eastAsia="Arial" w:hAnsi="Arial"/>
          <w:sz w:val="20"/>
          <w:szCs w:val="20"/>
        </w:rPr>
        <w:t xml:space="preserve"> Les tests mentionnent déjà un cache ; le généraliser avec invalidation par hash (instrument + date + source) et TTL. Réduire les appels réseau yfinance / émetteurs.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Parallélisation bornée des features indépendantes.</w:t>
      </w:r>
      <w:r>
        <w:rPr>
          <w:rFonts w:ascii="Arial" w:cs="Arial" w:eastAsia="Arial" w:hAnsi="Arial"/>
          <w:sz w:val="20"/>
          <w:szCs w:val="20"/>
        </w:rPr>
        <w:t xml:space="preserve"> Utiliser concurrent.futures ou joblib avec limite de concurrence (déjà un test runtime_bounded_concurrency) pour les familles technique / structure / flows / rotation. Cible : daily run &lt; 5 min sur univers complet.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Pré-agrégation des drivers sectoriels.</w:t>
      </w:r>
      <w:r>
        <w:rPr>
          <w:rFonts w:ascii="Arial" w:cs="Arial" w:eastAsia="Arial" w:hAnsi="Arial"/>
          <w:sz w:val="20"/>
          <w:szCs w:val="20"/>
        </w:rPr>
        <w:t xml:space="preserve"> Calculer une fois par thème/secteur les 76 drivers et les joindre aux ETF via la taxonomie, au lieu de recalculer par instrument. Réduit le coût de la couche rotation.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4.3.2 Qualité / robustesse des signaux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Validation OOS automatisée pour rotation et flows.</w:t>
      </w:r>
      <w:r>
        <w:rPr>
          <w:rFonts w:ascii="Arial" w:cs="Arial" w:eastAsia="Arial" w:hAnsi="Arial"/>
          <w:sz w:val="20"/>
          <w:szCs w:val="20"/>
        </w:rPr>
        <w:t xml:space="preserve"> Étendre sector_rotation_v2_pit_oos et ajouter un équivalent flows avec métriques (IR, turnover, max DD vs baseline MT). Condition sine qua non pour lever le shadow.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Score de confiance composite par instrument.</w:t>
      </w:r>
      <w:r>
        <w:rPr>
          <w:rFonts w:ascii="Arial" w:cs="Arial" w:eastAsia="Arial" w:hAnsi="Arial"/>
          <w:sz w:val="20"/>
          <w:szCs w:val="20"/>
        </w:rPr>
        <w:t xml:space="preserve"> Agréger freshness, completeness, pit_quality, source_reliability (DQS) en un score 0–100 exposé au committee. Permet de pondérer ou de mettre en quarantaine les ETF à faible fiabilité.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Détection de régime et adaptation des poids.</w:t>
      </w:r>
      <w:r>
        <w:rPr>
          <w:rFonts w:ascii="Arial" w:cs="Arial" w:eastAsia="Arial" w:hAnsi="Arial"/>
          <w:sz w:val="20"/>
          <w:szCs w:val="20"/>
        </w:rPr>
        <w:t xml:space="preserve"> Introduire un détecteur de régime (volatilité, corrélation, liquidité) qui module les poids MT/CT ou active/désactive certains drivers. Améliore la stabilité hors sample.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Benchmark tracking reproductible.</w:t>
      </w:r>
      <w:r>
        <w:rPr>
          <w:rFonts w:ascii="Arial" w:cs="Arial" w:eastAsia="Arial" w:hAnsi="Arial"/>
          <w:sz w:val="20"/>
          <w:szCs w:val="20"/>
        </w:rPr>
        <w:t xml:space="preserve"> Une fois le price map validé : calcul de tracking error, tracking difference, spread, et gates de qualité (ex. TE annualisé &gt; seuil → flag). Enrichit le score structurel.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4.3.3 Architecture &amp; maintenabilité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Registry unique des critères (CriterionRegistry).</w:t>
      </w:r>
      <w:r>
        <w:rPr>
          <w:rFonts w:ascii="Arial" w:cs="Arial" w:eastAsia="Arial" w:hAnsi="Arial"/>
          <w:sz w:val="20"/>
          <w:szCs w:val="20"/>
        </w:rPr>
        <w:t xml:space="preserve"> Classe ou module central listant les 268 + couches, avec métadonnées. Toutes les features s'y enregistrent. Source de vérité pour xlsx, CDC et tests d'intégrité.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Interface FeatureProvider unifiée.</w:t>
      </w:r>
      <w:r>
        <w:rPr>
          <w:rFonts w:ascii="Arial" w:cs="Arial" w:eastAsia="Arial" w:hAnsi="Arial"/>
          <w:sz w:val="20"/>
          <w:szCs w:val="20"/>
        </w:rPr>
        <w:t xml:space="preserve"> Contrat commun (compute(as_of, universe) → DataFrame + diagnostics) pour MT, CT/LT, flows, rotation, structure, top-down. Facilite le composition et le mock en tests.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Observabilité structurée (logs + metrics).</w:t>
      </w:r>
      <w:r>
        <w:rPr>
          <w:rFonts w:ascii="Arial" w:cs="Arial" w:eastAsia="Arial" w:hAnsi="Arial"/>
          <w:sz w:val="20"/>
          <w:szCs w:val="20"/>
        </w:rPr>
        <w:t xml:space="preserve"> Émettre des métriques Prometheus/OpenTelemetry (latence par feature, taux NaN, count quarantaine) et des logs JSON corrélés par run_id. Accélère le diagnostic de production.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Tests de non-régression de performance.</w:t>
      </w:r>
      <w:r>
        <w:rPr>
          <w:rFonts w:ascii="Arial" w:cs="Arial" w:eastAsia="Arial" w:hAnsi="Arial"/>
          <w:sz w:val="20"/>
          <w:szCs w:val="20"/>
        </w:rPr>
        <w:t xml:space="preserve"> Benchmarks pytest-benchmark ou time budgets dans la CI pour les chemins critiques (MT score, flows breadth, rotation RLS). Empêche les régressions de latence.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Documentation générée (Sphinx / MkDocs) depuis docstrings + configs.</w:t>
      </w:r>
      <w:r>
        <w:rPr>
          <w:rFonts w:ascii="Arial" w:cs="Arial" w:eastAsia="Arial" w:hAnsi="Arial"/>
          <w:sz w:val="20"/>
          <w:szCs w:val="20"/>
        </w:rPr>
        <w:t xml:space="preserve"> Aligne automatiquement le CDC technique avec le code et réduit le coût de maintenance documentaire.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Synthèse des priorités transverses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trois fichiers convergent sur un référentiel riche mais encore partiellement opérationnel (nombreux composants en shadow, tracking bloqué, inventaire 268 non exhaustif). Pour maximiser la performance globale du module ETF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638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attendu</w:t>
            </w:r>
          </w:p>
        </w:tc>
      </w:tr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Inventaire complet des 268 critères + registry code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Élimine la confusion de périmètre ; base de vérité unique</w:t>
            </w:r>
          </w:p>
        </w:tc>
      </w:tr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Valider price map &amp; activer tracking error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Contrôle qualité de réplication opérationnel</w:t>
            </w:r>
          </w:p>
        </w:tc>
      </w:tr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Vectorisation + cache + parallélisation bornée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run plus rapide et scalable (cible &lt; 5 min)</w:t>
            </w:r>
          </w:p>
        </w:tc>
      </w:tr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Protocole OOS/PIT de promotion shadow→live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Activation sûre de rotation / flows / CT-LT</w:t>
            </w:r>
          </w:p>
        </w:tc>
      </w:tr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Génération auto xlsx/CDC depuis code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Zéro divergence document/code ; releases accélérées</w:t>
            </w:r>
          </w:p>
        </w:tc>
      </w:tr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C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de confiance composite + quarantaine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Meilleure robustesse des décisions sur données partielles</w:t>
            </w:r>
          </w:p>
        </w:tc>
      </w:tr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C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FeatureProvider unifié + observabilité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Maintenabilité et diagnostic production améliorés</w:t>
            </w:r>
          </w:p>
        </w:tc>
      </w:tr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70AD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Détection de régime &amp; poids adaptatifs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Stabilité hors sample et performance relative accrue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Recommandations de gouvernance pour la suite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Geler toute modification des poids du sous-noyau MT historique tant que le registry 268 n'est pas stabilisé.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Ouvrir le holdout uniquement après validation du protocole OOS multi-couches et gel du process.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Conserver l'interdiction T1/T2 et des ordres réels automatiques jusqu'à promotion formelle des couches shadow.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Mettre en place un comité de revue bi-mensuel des divergences CDC / xlsx / code (diff automatisé en CI).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Mesurer systématiquement la couverture pondérée par ligne et le taux de fail-closed ; les traiter comme KPIs de release.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Fin du rapport d'audit. Les améliorations proposées sont classées pour permettre un plan de développement incrémental tout en préservant la reproductibilité et la gouvernance stricte déjà en place.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Document généré le 21 août 2026 — PEA Analyzer / Audit V21.18.1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—  Confidentiel  —  21 août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666666"/>
        <w:sz w:val="18"/>
        <w:szCs w:val="18"/>
      </w:rPr>
      <w:t xml:space="preserve">PEA Analyzer — Audit V21.18.1</w:t>
    </w:r>
    <w:r>
      <w:rPr>
        <w:rFonts w:ascii="Arial" w:cs="Arial" w:eastAsia="Arial" w:hAnsi="Arial"/>
        <w:color w:val="AAAAAA"/>
        <w:sz w:val="18"/>
        <w:szCs w:val="18"/>
      </w:rPr>
      <w:t xml:space="preserve">  |  </w:t>
    </w:r>
    <w:r>
      <w:rPr>
        <w:rFonts w:ascii="Arial" w:cs="Arial" w:eastAsia="Arial" w:hAnsi="Arial"/>
        <w:color w:val="666666"/>
        <w:sz w:val="18"/>
        <w:szCs w:val="18"/>
      </w:rPr>
      <w:t xml:space="preserve">Améliorations de performance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2026-08-21T06:52:06.716Z</dcterms:created>
  <dcterms:modified xsi:type="dcterms:W3CDTF">2026-08-21T06:52:06.716Z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