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CAHIER DES CHARGES ETF</w:t>
      </w:r>
    </w:p>
    <w:p>
      <w:pPr>
        <w:spacing w:after="320"/>
      </w:pPr>
      <w:r>
        <w:rPr>
          <w:color w:val="5A6470"/>
          <w:sz w:val="26"/>
        </w:rPr>
        <w:t>Référentiel global, gouvernance décisionnelle et protocole d’exploitation</w:t>
      </w:r>
    </w:p>
    <w:p>
      <w:pPr>
        <w:spacing w:after="40"/>
      </w:pPr>
      <w:r>
        <w:rPr>
          <w:b/>
        </w:rPr>
        <w:t xml:space="preserve">Version: </w:t>
      </w:r>
      <w:r>
        <w:t>V21.18.1R2</w:t>
      </w:r>
    </w:p>
    <w:p>
      <w:pPr>
        <w:spacing w:after="40"/>
      </w:pPr>
      <w:r>
        <w:rPr>
          <w:b/>
        </w:rPr>
        <w:t xml:space="preserve">Source: </w:t>
      </w:r>
      <w:r>
        <w:t>main @ 49c53d87855ce27e76213c65916cb5a579cdf590</w:t>
      </w:r>
    </w:p>
    <w:p>
      <w:pPr>
        <w:spacing w:after="40"/>
      </w:pPr>
      <w:r>
        <w:rPr>
          <w:b/>
        </w:rPr>
        <w:t xml:space="preserve">Date: </w:t>
      </w:r>
      <w:r>
        <w:t>21 août 2026</w:t>
      </w:r>
    </w:p>
    <w:p>
      <w:pPr>
        <w:spacing w:after="40"/>
      </w:pPr>
      <w:r>
        <w:rPr>
          <w:b/>
        </w:rPr>
        <w:t xml:space="preserve">Statut: </w:t>
      </w:r>
      <w:r>
        <w:t>Packaging renforcé — fonctions non prouvées désactivées</w:t>
      </w:r>
    </w:p>
    <w:p/>
    <w:p>
      <w:pPr>
        <w:pStyle w:val="Heading1"/>
      </w:pPr>
      <w:r>
        <w:t>1. Autorité et périmètre</w:t>
      </w:r>
    </w:p>
    <w:p>
      <w:r>
        <w:t>Le référentiel ETF est décrit comme un socle global de 268 critères, distinct des sous-moteurs. Le noyau MT historique de 38 critères PIT n’est qu’un sous-ensemble. Les couches sectorielles, thématiques, macro, flux, structure, benchmark et risque sont des objets complémentaires et ne sont pas additionnées artificiellement au total.</w:t>
      </w:r>
    </w:p>
    <w:p>
      <w:r>
        <w:t>Contrôle de source important : le commit contient 222 lignes héritées dans V18.2_ALL_CRITERIA.xlsx et des configurations permettant de reconstruire 46 entrées ETF supplémentaires. Le fichier canonique 03_ETF_268 cité par le manifeste n’est pas présent. Le registre livré expose donc cette provenance ligne par ligne et ne prétend pas faire correspondre le hash canonique absent.</w:t>
      </w:r>
    </w:p>
    <w:p>
      <w:pPr>
        <w:pStyle w:val="Heading1"/>
      </w:pPr>
      <w:r>
        <w:t>2. Règles non négociables</w:t>
      </w:r>
    </w:p>
    <w:p>
      <w:pPr>
        <w:pStyle w:val="ListBullet"/>
      </w:pPr>
      <w:r>
        <w:t>Fail-closed : une donnée absente n’est jamais remplacée par une valeur neutre.</w:t>
      </w:r>
    </w:p>
    <w:p>
      <w:pPr>
        <w:pStyle w:val="ListBullet"/>
      </w:pPr>
      <w:r>
        <w:t>T1/T2 interdits aux ETF.</w:t>
      </w:r>
    </w:p>
    <w:p>
      <w:pPr>
        <w:pStyle w:val="ListBullet"/>
      </w:pPr>
      <w:r>
        <w:t>Ordres réels désactivés.</w:t>
      </w:r>
    </w:p>
    <w:p>
      <w:pPr>
        <w:pStyle w:val="ListBullet"/>
      </w:pPr>
      <w:r>
        <w:t>Holdout final fermé.</w:t>
      </w:r>
    </w:p>
    <w:p>
      <w:pPr>
        <w:pStyle w:val="ListBullet"/>
      </w:pPr>
      <w:r>
        <w:t>Tracking error désactivé tant que le mapping de séries de prix n’est pas prouvé.</w:t>
      </w:r>
    </w:p>
    <w:p>
      <w:pPr>
        <w:pStyle w:val="ListBullet"/>
      </w:pPr>
      <w:r>
        <w:t>Poids adaptatifs et détection de régime non activés sans preuve OOS.</w:t>
      </w:r>
    </w:p>
    <w:p>
      <w:pPr>
        <w:pStyle w:val="ListBullet"/>
      </w:pPr>
      <w:r>
        <w:t>Rotation, flows et CT/LT restent shadow; influence positive nulle.</w:t>
      </w:r>
    </w:p>
    <w:p>
      <w:pPr>
        <w:pStyle w:val="Heading1"/>
      </w:pPr>
      <w:r>
        <w:t>3. Matrice d’influence décisionnelle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vAlign w:val="center"/>
            <w:shd w:fill="2E74B5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1872"/>
            <w:vAlign w:val="center"/>
            <w:shd w:fill="2E74B5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1008"/>
            <w:vAlign w:val="center"/>
            <w:shd w:fill="2E74B5"/>
          </w:tcPr>
          <w:p>
            <w:r>
              <w:rPr>
                <w:b/>
                <w:color w:val="FFFFFF"/>
              </w:rPr>
              <w:t>Poids + max</w:t>
            </w:r>
          </w:p>
        </w:tc>
        <w:tc>
          <w:tcPr>
            <w:tcW w:type="dxa" w:w="2016"/>
            <w:vAlign w:val="center"/>
            <w:shd w:fill="2E74B5"/>
          </w:tcPr>
          <w:p>
            <w:r>
              <w:rPr>
                <w:b/>
                <w:color w:val="FFFFFF"/>
              </w:rPr>
              <w:t>Statut</w:t>
            </w:r>
          </w:p>
        </w:tc>
        <w:tc>
          <w:tcPr>
            <w:tcW w:type="dxa" w:w="2880"/>
            <w:vAlign w:val="center"/>
            <w:shd w:fill="2E74B5"/>
          </w:tcPr>
          <w:p>
            <w:r>
              <w:rPr>
                <w:b/>
                <w:color w:val="FFFFFF"/>
              </w:rPr>
              <w:t>Gate de promotion</w:t>
            </w:r>
          </w:p>
        </w:tc>
      </w:tr>
      <w:tr>
        <w:tc>
          <w:tcPr>
            <w:tcW w:type="dxa" w:w="1584"/>
          </w:tcPr>
          <w:p>
            <w:r>
              <w:t>MT 38 PIT</w:t>
            </w:r>
          </w:p>
        </w:tc>
        <w:tc>
          <w:tcPr>
            <w:tcW w:type="dxa" w:w="1872"/>
          </w:tcPr>
          <w:p>
            <w:r>
              <w:t>SCORE_REFERENCE</w:t>
            </w:r>
          </w:p>
        </w:tc>
        <w:tc>
          <w:tcPr>
            <w:tcW w:type="dxa" w:w="1008"/>
          </w:tcPr>
          <w:p>
            <w:r>
              <w:t>1.0</w:t>
            </w:r>
          </w:p>
        </w:tc>
        <w:tc>
          <w:tcPr>
            <w:tcW w:type="dxa" w:w="2016"/>
          </w:tcPr>
          <w:p>
            <w:r>
              <w:t>ACTIVE_REFERENCE_NO_ORDERS</w:t>
            </w:r>
          </w:p>
        </w:tc>
        <w:tc>
          <w:tcPr>
            <w:tcW w:type="dxa" w:w="2880"/>
          </w:tcPr>
          <w:p>
            <w:r>
              <w:t>Gel poids/seuils</w:t>
            </w:r>
          </w:p>
        </w:tc>
      </w:tr>
      <w:tr>
        <w:tc>
          <w:tcPr>
            <w:tcW w:type="dxa" w:w="1584"/>
          </w:tcPr>
          <w:p>
            <w:r>
              <w:t>Structure</w:t>
            </w:r>
          </w:p>
        </w:tc>
        <w:tc>
          <w:tcPr>
            <w:tcW w:type="dxa" w:w="1872"/>
          </w:tcPr>
          <w:p>
            <w:r>
              <w:t>COMMITTEE_CONTEXT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CHALLENGER</w:t>
            </w:r>
          </w:p>
        </w:tc>
        <w:tc>
          <w:tcPr>
            <w:tcW w:type="dxa" w:w="2880"/>
          </w:tcPr>
          <w:p>
            <w:r>
              <w:t>OOS dédié requis</w:t>
            </w:r>
          </w:p>
        </w:tc>
      </w:tr>
      <w:tr>
        <w:tc>
          <w:tcPr>
            <w:tcW w:type="dxa" w:w="1584"/>
          </w:tcPr>
          <w:p>
            <w:r>
              <w:t>Morningstar/SRI</w:t>
            </w:r>
          </w:p>
        </w:tc>
        <w:tc>
          <w:tcPr>
            <w:tcW w:type="dxa" w:w="1872"/>
          </w:tcPr>
          <w:p>
            <w:r>
              <w:t>GATE_CONTEXT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PARTIAL_DATA</w:t>
            </w:r>
          </w:p>
        </w:tc>
        <w:tc>
          <w:tcPr>
            <w:tcW w:type="dxa" w:w="2880"/>
          </w:tcPr>
          <w:p>
            <w:r>
              <w:t>Pas de score inventé</w:t>
            </w:r>
          </w:p>
        </w:tc>
      </w:tr>
      <w:tr>
        <w:tc>
          <w:tcPr>
            <w:tcW w:type="dxa" w:w="1584"/>
          </w:tcPr>
          <w:p>
            <w:r>
              <w:t>CT/LT</w:t>
            </w:r>
          </w:p>
        </w:tc>
        <w:tc>
          <w:tcPr>
            <w:tcW w:type="dxa" w:w="1872"/>
          </w:tcPr>
          <w:p>
            <w:r>
              <w:t>SHADOW_CONTEXT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SHADOW_ONLY</w:t>
            </w:r>
          </w:p>
        </w:tc>
        <w:tc>
          <w:tcPr>
            <w:tcW w:type="dxa" w:w="2880"/>
          </w:tcPr>
          <w:p>
            <w:r>
              <w:t>Promotion PIT/OOS</w:t>
            </w:r>
          </w:p>
        </w:tc>
      </w:tr>
      <w:tr>
        <w:tc>
          <w:tcPr>
            <w:tcW w:type="dxa" w:w="1584"/>
          </w:tcPr>
          <w:p>
            <w:r>
              <w:t>Rotation</w:t>
            </w:r>
          </w:p>
        </w:tc>
        <w:tc>
          <w:tcPr>
            <w:tcW w:type="dxa" w:w="1872"/>
          </w:tcPr>
          <w:p>
            <w:r>
              <w:t>ANTI_CHASE_CONTEXT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SHADOW_ONLY</w:t>
            </w:r>
          </w:p>
        </w:tc>
        <w:tc>
          <w:tcPr>
            <w:tcW w:type="dxa" w:w="2880"/>
          </w:tcPr>
          <w:p>
            <w:r>
              <w:t>IR/turnover/DD OOS</w:t>
            </w:r>
          </w:p>
        </w:tc>
      </w:tr>
      <w:tr>
        <w:tc>
          <w:tcPr>
            <w:tcW w:type="dxa" w:w="1584"/>
          </w:tcPr>
          <w:p>
            <w:r>
              <w:t>Fund flows</w:t>
            </w:r>
          </w:p>
        </w:tc>
        <w:tc>
          <w:tcPr>
            <w:tcW w:type="dxa" w:w="1872"/>
          </w:tcPr>
          <w:p>
            <w:r>
              <w:t>SHADOW_CONTEXT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SHADOW_ONLY</w:t>
            </w:r>
          </w:p>
        </w:tc>
        <w:tc>
          <w:tcPr>
            <w:tcW w:type="dxa" w:w="2880"/>
          </w:tcPr>
          <w:p>
            <w:r>
              <w:t>OOS dédié</w:t>
            </w:r>
          </w:p>
        </w:tc>
      </w:tr>
      <w:tr>
        <w:tc>
          <w:tcPr>
            <w:tcW w:type="dxa" w:w="1584"/>
          </w:tcPr>
          <w:p>
            <w:r>
              <w:t>Benchmark</w:t>
            </w:r>
          </w:p>
        </w:tc>
        <w:tc>
          <w:tcPr>
            <w:tcW w:type="dxa" w:w="1872"/>
          </w:tcPr>
          <w:p>
            <w:r>
              <w:t>CONTEXT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PARTIAL_52_OF_102</w:t>
            </w:r>
          </w:p>
        </w:tc>
        <w:tc>
          <w:tcPr>
            <w:tcW w:type="dxa" w:w="2880"/>
          </w:tcPr>
          <w:p>
            <w:r>
              <w:t>Prix indice vérifiés</w:t>
            </w:r>
          </w:p>
        </w:tc>
      </w:tr>
      <w:tr>
        <w:tc>
          <w:tcPr>
            <w:tcW w:type="dxa" w:w="1584"/>
          </w:tcPr>
          <w:p>
            <w:r>
              <w:t>Tracking error</w:t>
            </w:r>
          </w:p>
        </w:tc>
        <w:tc>
          <w:tcPr>
            <w:tcW w:type="dxa" w:w="1872"/>
          </w:tcPr>
          <w:p>
            <w:r>
              <w:t>BLOCKED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252 rendements synchronisés + OOS</w:t>
            </w:r>
          </w:p>
        </w:tc>
      </w:tr>
      <w:tr>
        <w:tc>
          <w:tcPr>
            <w:tcW w:type="dxa" w:w="1584"/>
          </w:tcPr>
          <w:p>
            <w:r>
              <w:t>Entry/Exit V21.8</w:t>
            </w:r>
          </w:p>
        </w:tc>
        <w:tc>
          <w:tcPr>
            <w:tcW w:type="dxa" w:w="1872"/>
          </w:tcPr>
          <w:p>
            <w:r>
              <w:t>GATE</w:t>
            </w:r>
          </w:p>
        </w:tc>
        <w:tc>
          <w:tcPr>
            <w:tcW w:type="dxa" w:w="1008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DECISION_SUPPORT_ONLY</w:t>
            </w:r>
          </w:p>
        </w:tc>
        <w:tc>
          <w:tcPr>
            <w:tcW w:type="dxa" w:w="2880"/>
          </w:tcPr>
          <w:p>
            <w:r>
              <w:t>Aucun ordre réel</w:t>
            </w:r>
          </w:p>
        </w:tc>
      </w:tr>
    </w:tbl>
    <w:p/>
    <w:p>
      <w:pPr>
        <w:pStyle w:val="Heading1"/>
      </w:pPr>
      <w:r>
        <w:t>4. Morningstar, SRI et données manquantes</w:t>
      </w:r>
    </w:p>
    <w:p>
      <w:r>
        <w:t>Règle prudente de packaging : ces champs ne créent aucun bonus autonome et ne modifient pas le score MT 38. Ils alimentent seulement le contexte de qualité et les contrôles Entry/Exit.</w:t>
      </w:r>
    </w:p>
    <w:p>
      <w:pPr>
        <w:pStyle w:val="ListBullet"/>
      </w:pPr>
      <w:r>
        <w:t>Morningstar 1–2 étoiles : revue TEMPORARY_REJECT, jamais exclusion automatique sans seconde preuve.</w:t>
      </w:r>
    </w:p>
    <w:p>
      <w:pPr>
        <w:pStyle w:val="ListBullet"/>
      </w:pPr>
      <w:r>
        <w:t>Morningstar 3 étoiles : contexte neutre; 4–5 étoiles : contexte favorable, sans bonus de score.</w:t>
      </w:r>
    </w:p>
    <w:p>
      <w:pPr>
        <w:pStyle w:val="ListBullet"/>
      </w:pPr>
      <w:r>
        <w:t>SRI 1–3 : risque faible/modéré; SRI 4–5 : vigilance; SRI 6–7 : revue PROTECT/TEMPORARY_REJECT.</w:t>
      </w:r>
    </w:p>
    <w:p>
      <w:pPr>
        <w:pStyle w:val="ListBullet"/>
      </w:pPr>
      <w:r>
        <w:t>Champ absent ou stale : MISSING, contribution nulle, aucun blocage du calcul principal sauf si un gate explicite l’exige.</w:t>
      </w:r>
    </w:p>
    <w:p>
      <w:pPr>
        <w:pStyle w:val="Heading1"/>
      </w:pPr>
      <w:r>
        <w:t>5. Entry/Exit V21.8</w:t>
      </w:r>
    </w:p>
    <w:p>
      <w:r>
        <w:t>La sélection n’est pas une entrée. Les états d’entrée sont ACTION, WAIT et TEMPORARY_REJECT. Les contrôles obligatoires couvrent sur-extension, décélération du momentum, volatilité, structure de tendance et régime de marché. La gestion d’une position utilise HOLD, PROTECT, EXIT et EMERGENCY_EXIT. Aucun take-profit fixe n’est actif; un niveau de gain ne déclenche jamais seul une sortie.</w:t>
      </w:r>
    </w:p>
    <w:p>
      <w:pPr>
        <w:pStyle w:val="Heading1"/>
      </w:pPr>
      <w:r>
        <w:t>6. CT/LT — normalisation et interprétation</w:t>
      </w:r>
    </w:p>
    <w:p>
      <w:r>
        <w:t>Les coefficients historiques sont des poids relatifs bruts. Le moteur calcule un poids normalisé dans chaque horizon sur les critères observés et admissibles. Couverture pondérée minimale : 70 %. Les sorties CT/LT restent SHADOW_ONLY et n’ont aucune attribution de performance jusqu’à validation PIT/OOS dédiée.</w:t>
      </w:r>
    </w:p>
    <w:p>
      <w:pPr>
        <w:pStyle w:val="Heading1"/>
      </w:pPr>
      <w:r>
        <w:t>7. Taxonomie, mapping et drivers</w:t>
      </w:r>
    </w:p>
    <w:p>
      <w:r>
        <w:t>La taxonomie versionnée contient 71 nœuds et 35 règles automatiques. Les règles LOW_CONFIDENCE_DISABLED restent explicitement inactives. Le mapping ETF→thème/secteur→drivers ne doit être produit que lorsqu’un instrument dispose d’une preuve de classification; le fichier de mapping du commit est vide, donc aucune couverture artificielle n’est publiée.</w:t>
      </w:r>
    </w:p>
    <w:p>
      <w:pPr>
        <w:pStyle w:val="Heading1"/>
      </w:pPr>
      <w:r>
        <w:t>8. Coverage &amp; Quality</w:t>
      </w:r>
    </w:p>
    <w:p>
      <w:r>
        <w:t>Chaque run doit publier, par critère : couverture, taux de NaN, fraîcheur, latence, qualité PIT et grade de source. Le classeur contient la matrice prête à alimenter, mais laisse les mesures vides en l’absence de run réel associé au pack.</w:t>
      </w:r>
    </w:p>
    <w:p>
      <w:pPr>
        <w:pStyle w:val="Heading1"/>
      </w:pPr>
      <w:r>
        <w:t>9. Performance opérationnelle et SLA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fill="2E74B5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2160"/>
            <w:vAlign w:val="center"/>
            <w:shd w:fill="2E74B5"/>
          </w:tcPr>
          <w:p>
            <w:r>
              <w:rPr>
                <w:b/>
                <w:color w:val="FFFFFF"/>
              </w:rPr>
              <w:t>Cible</w:t>
            </w:r>
          </w:p>
        </w:tc>
        <w:tc>
          <w:tcPr>
            <w:tcW w:type="dxa" w:w="2160"/>
            <w:vAlign w:val="center"/>
            <w:shd w:fill="2E74B5"/>
          </w:tcPr>
          <w:p>
            <w:r>
              <w:rPr>
                <w:b/>
                <w:color w:val="FFFFFF"/>
              </w:rPr>
              <w:t>Alerte</w:t>
            </w:r>
          </w:p>
        </w:tc>
        <w:tc>
          <w:tcPr>
            <w:tcW w:type="dxa" w:w="2880"/>
            <w:vAlign w:val="center"/>
            <w:shd w:fill="2E74B5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Daily run</w:t>
            </w:r>
          </w:p>
        </w:tc>
        <w:tc>
          <w:tcPr>
            <w:tcW w:type="dxa" w:w="2160"/>
          </w:tcPr>
          <w:p>
            <w:r>
              <w:t>&lt; 5 min</w:t>
            </w:r>
          </w:p>
        </w:tc>
        <w:tc>
          <w:tcPr>
            <w:tcW w:type="dxa" w:w="2160"/>
          </w:tcPr>
          <w:p>
            <w:r>
              <w:t>&gt; 5 min</w:t>
            </w:r>
          </w:p>
        </w:tc>
        <w:tc>
          <w:tcPr>
            <w:tcW w:type="dxa" w:w="2880"/>
          </w:tcPr>
          <w:p>
            <w:r>
              <w:t>profiling par couche</w:t>
            </w:r>
          </w:p>
        </w:tc>
      </w:tr>
      <w:tr>
        <w:tc>
          <w:tcPr>
            <w:tcW w:type="dxa" w:w="2160"/>
          </w:tcPr>
          <w:p>
            <w:r>
              <w:t>Couverture ligne</w:t>
            </w:r>
          </w:p>
        </w:tc>
        <w:tc>
          <w:tcPr>
            <w:tcW w:type="dxa" w:w="2160"/>
          </w:tcPr>
          <w:p>
            <w:r>
              <w:t>≥ 70 %</w:t>
            </w:r>
          </w:p>
        </w:tc>
        <w:tc>
          <w:tcPr>
            <w:tcW w:type="dxa" w:w="2160"/>
          </w:tcPr>
          <w:p>
            <w:r>
              <w:t>&lt; 70 %</w:t>
            </w:r>
          </w:p>
        </w:tc>
        <w:tc>
          <w:tcPr>
            <w:tcW w:type="dxa" w:w="2880"/>
          </w:tcPr>
          <w:p>
            <w:r>
              <w:t>non-scorable fail-closed</w:t>
            </w:r>
          </w:p>
        </w:tc>
      </w:tr>
      <w:tr>
        <w:tc>
          <w:tcPr>
            <w:tcW w:type="dxa" w:w="2160"/>
          </w:tcPr>
          <w:p>
            <w:r>
              <w:t>Erreurs formule/config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≥ 1</w:t>
            </w:r>
          </w:p>
        </w:tc>
        <w:tc>
          <w:tcPr>
            <w:tcW w:type="dxa" w:w="2880"/>
          </w:tcPr>
          <w:p>
            <w:r>
              <w:t>release bloquée</w:t>
            </w:r>
          </w:p>
        </w:tc>
      </w:tr>
      <w:tr>
        <w:tc>
          <w:tcPr>
            <w:tcW w:type="dxa" w:w="2160"/>
          </w:tcPr>
          <w:p>
            <w:r>
              <w:t>Tracking price map</w:t>
            </w:r>
          </w:p>
        </w:tc>
        <w:tc>
          <w:tcPr>
            <w:tcW w:type="dxa" w:w="2160"/>
          </w:tcPr>
          <w:p>
            <w:r>
              <w:t>preuves A/B + 252 retours</w:t>
            </w:r>
          </w:p>
        </w:tc>
        <w:tc>
          <w:tcPr>
            <w:tcW w:type="dxa" w:w="2160"/>
          </w:tcPr>
          <w:p>
            <w:r>
              <w:t>preuve absente</w:t>
            </w:r>
          </w:p>
        </w:tc>
        <w:tc>
          <w:tcPr>
            <w:tcW w:type="dxa" w:w="2880"/>
          </w:tcPr>
          <w:p>
            <w:r>
              <w:t>fonction OFF</w:t>
            </w:r>
          </w:p>
        </w:tc>
      </w:tr>
    </w:tbl>
    <w:p/>
    <w:p>
      <w:pPr>
        <w:pStyle w:val="Heading1"/>
      </w:pPr>
      <w:r>
        <w:t>10. Shadow → live : protocole PIT/OOS</w:t>
      </w:r>
    </w:p>
    <w:p>
      <w:pPr>
        <w:pStyle w:val="ListBullet"/>
      </w:pPr>
      <w:r>
        <w:t>Geler code, poids, seuils et univers avant OOS.</w:t>
      </w:r>
    </w:p>
    <w:p>
      <w:pPr>
        <w:pStyle w:val="ListBullet"/>
      </w:pPr>
      <w:r>
        <w:t>Construire des observations PIT avec timestamp, source, hash et lag maximum.</w:t>
      </w:r>
    </w:p>
    <w:p>
      <w:pPr>
        <w:pStyle w:val="ListBullet"/>
      </w:pPr>
      <w:r>
        <w:t>Comparer à la baseline MT sur IR, turnover, hit-rate et max drawdown.</w:t>
      </w:r>
    </w:p>
    <w:p>
      <w:pPr>
        <w:pStyle w:val="ListBullet"/>
      </w:pPr>
      <w:r>
        <w:t>Valider plusieurs fenêtres et régimes sans ouvrir le holdout final.</w:t>
      </w:r>
    </w:p>
    <w:p>
      <w:pPr>
        <w:pStyle w:val="ListBullet"/>
      </w:pPr>
      <w:r>
        <w:t>Exiger CI verte, revue indépendante et version de poids signée.</w:t>
      </w:r>
    </w:p>
    <w:p>
      <w:pPr>
        <w:pStyle w:val="ListBullet"/>
      </w:pPr>
      <w:r>
        <w:t>N’activer qu’un flag de promotion versionné; rollback immédiat disponible.</w:t>
      </w:r>
    </w:p>
    <w:p>
      <w:pPr>
        <w:pStyle w:val="Heading1"/>
      </w:pPr>
      <w:r>
        <w:t>11. Architecture technique renforcée R2</w:t>
      </w:r>
    </w:p>
    <w:p>
      <w:pPr>
        <w:pStyle w:val="ListBullet"/>
      </w:pPr>
      <w:r>
        <w:t>FeatureProvider définit un contrat commun compute(as_of, universe) avec diagnostics.</w:t>
      </w:r>
    </w:p>
    <w:p>
      <w:pPr>
        <w:pStyle w:val="ListBullet"/>
      </w:pPr>
      <w:r>
        <w:t>Cache JSON déterministe indexé par instrument, date et hash source, avec TTL fail-closed.</w:t>
      </w:r>
    </w:p>
    <w:p>
      <w:pPr>
        <w:pStyle w:val="ListBullet"/>
      </w:pPr>
      <w:r>
        <w:t>Observabilité JSON structurée par run_id, feature, latence, budget et statut SLA.</w:t>
      </w:r>
    </w:p>
    <w:p>
      <w:pPr>
        <w:pStyle w:val="ListBullet"/>
      </w:pPr>
      <w:r>
        <w:t>Gate de promotion refusant toute activation sans PIT, holdout, 12 périodes, IR, turnover, drawdown comparé, CI et revue indépendante.</w:t>
      </w:r>
    </w:p>
    <w:p>
      <w:pPr>
        <w:pStyle w:val="ListBullet"/>
      </w:pPr>
      <w:r>
        <w:t>DQS composite borné de 0 à 100; il détermine quarantaine/contexte/éligibilité qualité, jamais une promotion live.</w:t>
      </w:r>
    </w:p>
    <w:p>
      <w:pPr>
        <w:pStyle w:val="Heading1"/>
      </w:pPr>
      <w:r>
        <w:t>12. Génération et cohérence</w:t>
      </w:r>
    </w:p>
    <w:p>
      <w:r>
        <w:t>Le CriterionRegistry JSON est la source machine-readable du pack. Le classeur, les contrôles et la documentation sont générés à partir du registre et des configs versionnées. Toute divergence de count, taxonomie ou règle mapping doit bloquer la release.</w:t>
      </w:r>
    </w:p>
    <w:p>
      <w:pPr>
        <w:pStyle w:val="Heading1"/>
      </w:pPr>
      <w:r>
        <w:t>Annexe A — Inventaire</w:t>
      </w:r>
    </w:p>
    <w:p>
      <w:r>
        <w:t>L’inventaire exhaustif de 268 lignes avec métadonnées figure dans le référentiel XLSX et criterion_registry.json. Répartition : 222 lignes vérifiées dans le classeur du dépôt et 46 lignes reconstruites à partir des configurations versionnées. La certification nominale du hash canonique reste impossible tant que la matrice source 03_ETF_268 n’est pas ajoutée au dépôt.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Commit 49c53d8 • packaging renforcé R2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70"/>
        <w:sz w:val="18"/>
      </w:rPr>
      <w:t>PEA Analyzer — ETF V21.18.1R2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