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RAPPORT D’AUDIT FINAL</w:t>
      </w:r>
    </w:p>
    <w:p>
      <w:pPr>
        <w:spacing w:after="320"/>
      </w:pPr>
      <w:r>
        <w:rPr>
          <w:color w:val="5A6470"/>
          <w:sz w:val="26"/>
        </w:rPr>
        <w:t>ETF V21.18.1R2 — améliorations techniques sûres et réserves</w:t>
      </w:r>
    </w:p>
    <w:p>
      <w:pPr>
        <w:spacing w:after="40"/>
      </w:pPr>
      <w:r>
        <w:rPr>
          <w:b/>
        </w:rPr>
        <w:t xml:space="preserve">Version: </w:t>
      </w:r>
      <w:r>
        <w:t>V21.18.1R2</w:t>
      </w:r>
    </w:p>
    <w:p>
      <w:pPr>
        <w:spacing w:after="40"/>
      </w:pPr>
      <w:r>
        <w:rPr>
          <w:b/>
        </w:rPr>
        <w:t xml:space="preserve">Source: </w:t>
      </w:r>
      <w:r>
        <w:t>main @ 49c53d87855ce27e76213c65916cb5a579cdf590</w:t>
      </w:r>
    </w:p>
    <w:p>
      <w:pPr>
        <w:spacing w:after="40"/>
      </w:pPr>
      <w:r>
        <w:rPr>
          <w:b/>
        </w:rPr>
        <w:t xml:space="preserve">Date: </w:t>
      </w:r>
      <w:r>
        <w:t>21 août 2026</w:t>
      </w:r>
    </w:p>
    <w:p>
      <w:pPr>
        <w:spacing w:after="40"/>
      </w:pPr>
      <w:r>
        <w:rPr>
          <w:b/>
        </w:rPr>
        <w:t xml:space="preserve">Statut: </w:t>
      </w:r>
      <w:r>
        <w:t>Packaging renforcé — fonctions non prouvées désactivées</w:t>
      </w:r>
    </w:p>
    <w:p/>
    <w:p>
      <w:pPr>
        <w:pStyle w:val="Heading1"/>
      </w:pPr>
      <w:r>
        <w:t>Conclusion exécutive</w:t>
      </w:r>
    </w:p>
    <w:p>
      <w:r>
        <w:t>Pack cohérent et exploitable en mode gouverné. Les P0/P1 sûres ont été appliquées. Les fonctions exigeant une preuve OOS restent désactivées. Une réserve majeure demeure : la matrice canonique 03_ETF_268 citée par le manifeste n’est pas présente dans le commit.</w:t>
      </w:r>
    </w:p>
    <w:p>
      <w:pPr>
        <w:pStyle w:val="Heading1"/>
      </w:pPr>
      <w:r>
        <w:t>Résultats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shd w:fill="2E74B5"/>
          </w:tcPr>
          <w:p>
            <w:r>
              <w:rPr>
                <w:b/>
                <w:color w:val="FFFFFF"/>
              </w:rPr>
              <w:t>Contrôle</w:t>
            </w:r>
          </w:p>
        </w:tc>
        <w:tc>
          <w:tcPr>
            <w:tcW w:type="dxa" w:w="4032"/>
            <w:vAlign w:val="center"/>
            <w:shd w:fill="2E74B5"/>
          </w:tcPr>
          <w:p>
            <w:r>
              <w:rPr>
                <w:b/>
                <w:color w:val="FFFFFF"/>
              </w:rPr>
              <w:t>Résultat</w:t>
            </w:r>
          </w:p>
        </w:tc>
        <w:tc>
          <w:tcPr>
            <w:tcW w:type="dxa" w:w="2160"/>
            <w:vAlign w:val="center"/>
            <w:shd w:fill="2E74B5"/>
          </w:tcPr>
          <w:p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3168"/>
          </w:tcPr>
          <w:p>
            <w:r>
              <w:t>Registre</w:t>
            </w:r>
          </w:p>
        </w:tc>
        <w:tc>
          <w:tcPr>
            <w:tcW w:type="dxa" w:w="4032"/>
          </w:tcPr>
          <w:p>
            <w:r>
              <w:t>268 lignes (222 vérifiées + 46 reconstruites)</w:t>
            </w:r>
          </w:p>
        </w:tc>
        <w:tc>
          <w:tcPr>
            <w:tcW w:type="dxa" w:w="2160"/>
          </w:tcPr>
          <w:p>
            <w:r>
              <w:t>PASS AVEC RÉSERVE</w:t>
            </w:r>
          </w:p>
        </w:tc>
      </w:tr>
      <w:tr>
        <w:tc>
          <w:tcPr>
            <w:tcW w:type="dxa" w:w="3168"/>
          </w:tcPr>
          <w:p>
            <w:r>
              <w:t>Taxonomie</w:t>
            </w:r>
          </w:p>
        </w:tc>
        <w:tc>
          <w:tcPr>
            <w:tcW w:type="dxa" w:w="4032"/>
          </w:tcPr>
          <w:p>
            <w:r>
              <w:t>71 nœuds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3168"/>
          </w:tcPr>
          <w:p>
            <w:r>
              <w:t>Règles mapping</w:t>
            </w:r>
          </w:p>
        </w:tc>
        <w:tc>
          <w:tcPr>
            <w:tcW w:type="dxa" w:w="4032"/>
          </w:tcPr>
          <w:p>
            <w:r>
              <w:t>35 règles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3168"/>
          </w:tcPr>
          <w:p>
            <w:r>
              <w:t>Tracking error</w:t>
            </w:r>
          </w:p>
        </w:tc>
        <w:tc>
          <w:tcPr>
            <w:tcW w:type="dxa" w:w="4032"/>
          </w:tcPr>
          <w:p>
            <w:r>
              <w:t>OFF; price map non prouvé</w:t>
            </w:r>
          </w:p>
        </w:tc>
        <w:tc>
          <w:tcPr>
            <w:tcW w:type="dxa" w:w="2160"/>
          </w:tcPr>
          <w:p>
            <w:r>
              <w:t>PASS GOUVERNANCE</w:t>
            </w:r>
          </w:p>
        </w:tc>
      </w:tr>
      <w:tr>
        <w:tc>
          <w:tcPr>
            <w:tcW w:type="dxa" w:w="3168"/>
          </w:tcPr>
          <w:p>
            <w:r>
              <w:t>Poids adaptatifs</w:t>
            </w:r>
          </w:p>
        </w:tc>
        <w:tc>
          <w:tcPr>
            <w:tcW w:type="dxa" w:w="4032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3168"/>
          </w:tcPr>
          <w:p>
            <w:r>
              <w:t>Ordres réels</w:t>
            </w:r>
          </w:p>
        </w:tc>
        <w:tc>
          <w:tcPr>
            <w:tcW w:type="dxa" w:w="4032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3168"/>
          </w:tcPr>
          <w:p>
            <w:r>
              <w:t>Shadow live</w:t>
            </w:r>
          </w:p>
        </w:tc>
        <w:tc>
          <w:tcPr>
            <w:tcW w:type="dxa" w:w="4032"/>
          </w:tcPr>
          <w:p>
            <w:r>
              <w:t>OFF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Corrections appliquées</w:t>
      </w:r>
    </w:p>
    <w:p>
      <w:pPr>
        <w:pStyle w:val="ListBullet"/>
      </w:pPr>
      <w:r>
        <w:t>CriterionRegistry JSON/CSV et contrôle count=268.</w:t>
      </w:r>
    </w:p>
    <w:p>
      <w:pPr>
        <w:pStyle w:val="ListBullet"/>
      </w:pPr>
      <w:r>
        <w:t>Matrice d’influence décisionnelle.</w:t>
      </w:r>
    </w:p>
    <w:p>
      <w:pPr>
        <w:pStyle w:val="ListBullet"/>
      </w:pPr>
      <w:r>
        <w:t>Clarifications Morningstar/SRI et Entry/Exit.</w:t>
      </w:r>
    </w:p>
    <w:p>
      <w:pPr>
        <w:pStyle w:val="ListBullet"/>
      </w:pPr>
      <w:r>
        <w:t>Poids CT/LT normalisés et documentés.</w:t>
      </w:r>
    </w:p>
    <w:p>
      <w:pPr>
        <w:pStyle w:val="ListBullet"/>
      </w:pPr>
      <w:r>
        <w:t>Taxonomie 71 et règles 35 synchronisées.</w:t>
      </w:r>
    </w:p>
    <w:p>
      <w:pPr>
        <w:pStyle w:val="ListBullet"/>
      </w:pPr>
      <w:r>
        <w:t>Metadata commit/hashes, Coverage &amp; Quality, coûts/cacheabilité, versioning des poids.</w:t>
      </w:r>
    </w:p>
    <w:p>
      <w:pPr>
        <w:pStyle w:val="ListBullet"/>
      </w:pPr>
      <w:r>
        <w:t>Protocole shadow→live PIT/OOS et SLA/observabilité.</w:t>
      </w:r>
    </w:p>
    <w:p>
      <w:pPr>
        <w:pStyle w:val="ListBullet"/>
      </w:pPr>
      <w:r>
        <w:t>Génération cohérente registre→XLSX/CDC.</w:t>
      </w:r>
    </w:p>
    <w:p>
      <w:pPr>
        <w:pStyle w:val="Heading1"/>
      </w:pPr>
      <w:r>
        <w:t>Améliorations supplémentaires R2</w:t>
      </w:r>
    </w:p>
    <w:p>
      <w:pPr>
        <w:pStyle w:val="ListBullet"/>
      </w:pPr>
      <w:r>
        <w:t>Interface FeatureProvider commune et neutre décisionnellement.</w:t>
      </w:r>
    </w:p>
    <w:p>
      <w:pPr>
        <w:pStyle w:val="ListBullet"/>
      </w:pPr>
      <w:r>
        <w:t>Cache déterministe hash/TTL avec rejet stale et changement de source.</w:t>
      </w:r>
    </w:p>
    <w:p>
      <w:pPr>
        <w:pStyle w:val="ListBullet"/>
      </w:pPr>
      <w:r>
        <w:t>Métriques JSON et budgets de latence par feature.</w:t>
      </w:r>
    </w:p>
    <w:p>
      <w:pPr>
        <w:pStyle w:val="ListBullet"/>
      </w:pPr>
      <w:r>
        <w:t>Gate de promotion automatisé refusant les preuves incomplètes.</w:t>
      </w:r>
    </w:p>
    <w:p>
      <w:pPr>
        <w:pStyle w:val="ListBullet"/>
      </w:pPr>
      <w:r>
        <w:t>Score DQS composite et états de quarantaine/contexte.</w:t>
      </w:r>
    </w:p>
    <w:p>
      <w:pPr>
        <w:pStyle w:val="ListBullet"/>
      </w:pPr>
      <w:r>
        <w:t>Tests unitaires supplémentaires couvrant cache, gate et DQS.</w:t>
      </w:r>
    </w:p>
    <w:p>
      <w:pPr>
        <w:pStyle w:val="Heading1"/>
      </w:pPr>
      <w:r>
        <w:t>Réserves et décisions de non-activation</w:t>
      </w:r>
    </w:p>
    <w:p>
      <w:pPr>
        <w:pStyle w:val="ListBullet"/>
      </w:pPr>
      <w:r>
        <w:t>Le hash ordonné canonique 40eabc… ne peut pas être reproduit sans le fichier source 03_ETF_268.</w:t>
      </w:r>
    </w:p>
    <w:p>
      <w:pPr>
        <w:pStyle w:val="ListBullet"/>
      </w:pPr>
      <w:r>
        <w:t>Le mapping instrument→thème du commit ne contient aucune donnée exploitable; aucun mapping n’a été inventé.</w:t>
      </w:r>
    </w:p>
    <w:p>
      <w:pPr>
        <w:pStyle w:val="ListBullet"/>
      </w:pPr>
      <w:r>
        <w:t>Coverage, latence et DQS nécessitent un run PIT réel et restent NOT_MEASURED_IN_PACK.</w:t>
      </w:r>
    </w:p>
    <w:p>
      <w:pPr>
        <w:pStyle w:val="ListBullet"/>
      </w:pPr>
      <w:r>
        <w:t>Tracking error, poids adaptatifs, ordres réels et promotion des couches shadow restent OFF.</w:t>
      </w:r>
    </w:p>
    <w:p>
      <w:pPr>
        <w:pStyle w:val="Heading1"/>
      </w:pPr>
      <w:r>
        <w:t>Critères d’acceptation pour lever la réserve</w:t>
      </w:r>
    </w:p>
    <w:p>
      <w:pPr>
        <w:pStyle w:val="ListBullet"/>
      </w:pPr>
      <w:r>
        <w:t>Ajouter la matrice canonique au dépôt ou publier ses 268 lignes et métadonnées.</w:t>
      </w:r>
    </w:p>
    <w:p>
      <w:pPr>
        <w:pStyle w:val="ListBullet"/>
      </w:pPr>
      <w:r>
        <w:t>Recalculer le hash ordonné et le hash de table 19 colonnes.</w:t>
      </w:r>
    </w:p>
    <w:p>
      <w:pPr>
        <w:pStyle w:val="ListBullet"/>
      </w:pPr>
      <w:r>
        <w:t>Faire échouer CI si le registre généré ne correspond pas aux deux hashes du manifeste.</w:t>
      </w:r>
    </w:p>
    <w:p>
      <w:pPr>
        <w:pStyle w:val="ListBullet"/>
      </w:pPr>
      <w:r>
        <w:t>Rejouer la génération complète puis signer le manifeste SHA256.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Commit 49c53d8 • packaging renforcé R2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470"/>
        <w:sz w:val="18"/>
      </w:rPr>
      <w:t>PEA Analyzer — ETF V21.18.1R2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