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16324F"/>
          <w:sz w:val="72"/>
        </w:rPr>
        <w:t>TBC-AI</w:t>
      </w:r>
    </w:p>
    <w:p>
      <w:pPr>
        <w:jc w:val="center"/>
      </w:pPr>
      <w:r>
        <w:rPr>
          <w:rFonts w:ascii="Aptos" w:hAnsi="Aptos"/>
          <w:b/>
          <w:color w:val="245C8A"/>
          <w:sz w:val="38"/>
        </w:rPr>
        <w:t>Propuesta de arquitectura más robusta, fiable y trazable</w:t>
      </w:r>
    </w:p>
    <w:p>
      <w:pPr>
        <w:spacing w:before="200"/>
        <w:jc w:val="center"/>
      </w:pPr>
      <w:r>
        <w:rPr>
          <w:rFonts w:ascii="Aptos" w:hAnsi="Aptos"/>
          <w:color w:val="5C6770"/>
          <w:sz w:val="22"/>
        </w:rPr>
        <w:t>Hybrid RAG · Seguridad clínica determinista · Evidence Pack · Verificación de afirmaciones · Consenso selectivo · Auditoría</w:t>
      </w:r>
    </w:p>
    <w:tbl>
      <w:tblPr>
        <w:tblW w:type="auto" w:w="0"/>
        <w:jc w:val="center"/>
        <w:tblLayout w:type="fixed"/>
        <w:tblLook w:firstColumn="1" w:firstRow="1" w:lastColumn="0" w:lastRow="0" w:noHBand="0" w:noVBand="1" w:val="04A0"/>
      </w:tblPr>
      <w:tblGrid>
        <w:gridCol w:w="2448"/>
        <w:gridCol w:w="6768"/>
      </w:tblGrid>
      <w:tr>
        <w:trPr>
          <w:tblHeader w:val="true"/>
          <w:cantSplit/>
        </w:trPr>
        <w:tc>
          <w:tcPr>
            <w:tcW w:type="dxa" w:w="5040"/>
            <w:tcMar>
              <w:top w:w="110" w:type="dxa"/>
              <w:start w:w="120" w:type="dxa"/>
              <w:bottom w:w="110" w:type="dxa"/>
              <w:end w:w="120" w:type="dxa"/>
            </w:tcMar>
            <w:shd w:fill="16324F"/>
            <w:vAlign w:val="center"/>
          </w:tcPr>
          <w:p>
            <w:r>
              <w:rPr>
                <w:rFonts w:ascii="Aptos" w:hAnsi="Aptos"/>
                <w:b/>
                <w:color w:val="FFFFFF"/>
                <w:sz w:val="18"/>
              </w:rPr>
              <w:t>Estado</w:t>
            </w:r>
          </w:p>
        </w:tc>
        <w:tc>
          <w:tcPr>
            <w:tcW w:type="dxa" w:w="5040"/>
            <w:tcMar>
              <w:top w:w="110" w:type="dxa"/>
              <w:start w:w="120" w:type="dxa"/>
              <w:bottom w:w="110" w:type="dxa"/>
              <w:end w:w="120" w:type="dxa"/>
            </w:tcMar>
            <w:shd w:fill="F5F8FA"/>
            <w:vAlign w:val="center"/>
          </w:tcPr>
          <w:p>
            <w:r>
              <w:rPr>
                <w:rFonts w:ascii="Aptos" w:hAnsi="Aptos"/>
                <w:color w:val="1E252B"/>
                <w:sz w:val="18"/>
              </w:rPr>
              <w:t>Diseño propuesto para evolución de la arquitectura actual</w:t>
            </w:r>
          </w:p>
        </w:tc>
      </w:tr>
      <w:tr>
        <w:trPr>
          <w:cantSplit/>
        </w:trPr>
        <w:tc>
          <w:tcPr>
            <w:tcW w:type="dxa" w:w="5040"/>
            <w:tcMar>
              <w:top w:w="110" w:type="dxa"/>
              <w:start w:w="120" w:type="dxa"/>
              <w:bottom w:w="110" w:type="dxa"/>
              <w:end w:w="120" w:type="dxa"/>
            </w:tcMar>
            <w:shd w:fill="16324F"/>
            <w:vAlign w:val="center"/>
          </w:tcPr>
          <w:p>
            <w:r>
              <w:rPr>
                <w:rFonts w:ascii="Aptos" w:hAnsi="Aptos"/>
                <w:b/>
                <w:color w:val="FFFFFF"/>
                <w:sz w:val="18"/>
              </w:rPr>
              <w:t>Backend principal</w:t>
            </w:r>
          </w:p>
        </w:tc>
        <w:tc>
          <w:tcPr>
            <w:tcW w:type="dxa" w:w="5040"/>
            <w:tcMar>
              <w:top w:w="110" w:type="dxa"/>
              <w:start w:w="120" w:type="dxa"/>
              <w:bottom w:w="110" w:type="dxa"/>
              <w:end w:w="120" w:type="dxa"/>
            </w:tcMar>
            <w:shd w:fill="F5F8FA"/>
            <w:vAlign w:val="center"/>
          </w:tcPr>
          <w:p>
            <w:r>
              <w:rPr>
                <w:rFonts w:ascii="Aptos" w:hAnsi="Aptos"/>
                <w:color w:val="1E252B"/>
                <w:sz w:val="18"/>
              </w:rPr>
              <w:t>TBC-AI · puerto 8001</w:t>
            </w:r>
          </w:p>
        </w:tc>
      </w:tr>
      <w:tr>
        <w:trPr>
          <w:cantSplit/>
        </w:trPr>
        <w:tc>
          <w:tcPr>
            <w:tcW w:type="dxa" w:w="5040"/>
            <w:tcMar>
              <w:top w:w="110" w:type="dxa"/>
              <w:start w:w="120" w:type="dxa"/>
              <w:bottom w:w="110" w:type="dxa"/>
              <w:end w:w="120" w:type="dxa"/>
            </w:tcMar>
            <w:shd w:fill="16324F"/>
            <w:vAlign w:val="center"/>
          </w:tcPr>
          <w:p>
            <w:r>
              <w:rPr>
                <w:rFonts w:ascii="Aptos" w:hAnsi="Aptos"/>
                <w:b/>
                <w:color w:val="FFFFFF"/>
                <w:sz w:val="18"/>
              </w:rPr>
              <w:t>Modelos</w:t>
            </w:r>
          </w:p>
        </w:tc>
        <w:tc>
          <w:tcPr>
            <w:tcW w:type="dxa" w:w="5040"/>
            <w:tcMar>
              <w:top w:w="110" w:type="dxa"/>
              <w:start w:w="120" w:type="dxa"/>
              <w:bottom w:w="110" w:type="dxa"/>
              <w:end w:w="120" w:type="dxa"/>
            </w:tcMar>
            <w:shd w:fill="F5F8FA"/>
            <w:vAlign w:val="center"/>
          </w:tcPr>
          <w:p>
            <w:r>
              <w:rPr>
                <w:rFonts w:ascii="Aptos" w:hAnsi="Aptos"/>
                <w:color w:val="1E252B"/>
                <w:sz w:val="18"/>
              </w:rPr>
              <w:t>Llama 3.1 8B (Ollama) + Mistral 7B (Llamafile)</w:t>
            </w:r>
          </w:p>
        </w:tc>
      </w:tr>
      <w:tr>
        <w:trPr>
          <w:cantSplit/>
        </w:trPr>
        <w:tc>
          <w:tcPr>
            <w:tcW w:type="dxa" w:w="5040"/>
            <w:tcMar>
              <w:top w:w="110" w:type="dxa"/>
              <w:start w:w="120" w:type="dxa"/>
              <w:bottom w:w="110" w:type="dxa"/>
              <w:end w:w="120" w:type="dxa"/>
            </w:tcMar>
            <w:shd w:fill="16324F"/>
            <w:vAlign w:val="center"/>
          </w:tcPr>
          <w:p>
            <w:r>
              <w:rPr>
                <w:rFonts w:ascii="Aptos" w:hAnsi="Aptos"/>
                <w:b/>
                <w:color w:val="FFFFFF"/>
                <w:sz w:val="18"/>
              </w:rPr>
              <w:t>Objetivo</w:t>
            </w:r>
          </w:p>
        </w:tc>
        <w:tc>
          <w:tcPr>
            <w:tcW w:type="dxa" w:w="5040"/>
            <w:tcMar>
              <w:top w:w="110" w:type="dxa"/>
              <w:start w:w="120" w:type="dxa"/>
              <w:bottom w:w="110" w:type="dxa"/>
              <w:end w:w="120" w:type="dxa"/>
            </w:tcMar>
            <w:shd w:fill="F5F8FA"/>
            <w:vAlign w:val="center"/>
          </w:tcPr>
          <w:p>
            <w:r>
              <w:rPr>
                <w:rFonts w:ascii="Aptos" w:hAnsi="Aptos"/>
                <w:color w:val="1E252B"/>
                <w:sz w:val="18"/>
              </w:rPr>
              <w:t>Responder consultas sobre tuberculosis con evidencia recuperable, reglas de seguridad y capacidad de abstención</w:t>
            </w:r>
          </w:p>
        </w:tc>
      </w:tr>
    </w:tbl>
    <w:p>
      <w:pPr>
        <w:spacing w:before="1300"/>
        <w:jc w:val="center"/>
      </w:pPr>
      <w:r>
        <w:rPr>
          <w:rFonts w:ascii="Aptos" w:hAnsi="Aptos"/>
          <w:color w:val="5C6770"/>
          <w:sz w:val="18"/>
        </w:rPr>
        <w:t>Versión de trabajo · agosto de 2026</w:t>
      </w:r>
    </w:p>
    <w:p>
      <w:r>
        <w:br w:type="page"/>
      </w:r>
    </w:p>
    <w:p>
      <w:pPr>
        <w:pStyle w:val="Heading1"/>
      </w:pPr>
      <w:r>
        <w:t>1. Objetivo del rediseño</w:t>
      </w:r>
    </w:p>
    <w:p>
      <w:r>
        <w:rPr>
          <w:rFonts w:ascii="Aptos" w:hAnsi="Aptos"/>
        </w:rPr>
        <w:t>La arquitectura actual de TBC-AI ya combina un modelo local, recuperación vectorial, un motor híbrido, una bibliografía propia, fuentes regulatorias y un segundo modelo. La evolución propuesta no consiste en añadir más modelos sin criterio, sino en controlar mejor cuándo se recupera evidencia, qué fuentes pueden sustentar una respuesta, qué situaciones deben activar seguridad y cuándo el sistema debe abstenerse.</w:t>
      </w:r>
    </w:p>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245C8A"/>
            <w:tcMar>
              <w:top w:w="40" w:type="dxa"/>
              <w:start w:w="0" w:type="dxa"/>
              <w:bottom w:w="40" w:type="dxa"/>
              <w:end w:w="0" w:type="dxa"/>
            </w:tcMar>
            <w:vAlign w:val="center"/>
          </w:tcPr>
          <w:p/>
        </w:tc>
        <w:tc>
          <w:tcPr>
            <w:tcW w:type="dxa" w:w="5040"/>
            <w:shd w:fill="EAF2F8"/>
            <w:tcMar>
              <w:top w:w="120" w:type="dxa"/>
              <w:start w:w="150" w:type="dxa"/>
              <w:bottom w:w="120" w:type="dxa"/>
              <w:end w:w="150" w:type="dxa"/>
            </w:tcMar>
            <w:vAlign w:val="center"/>
          </w:tcPr>
          <w:p>
            <w:r>
              <w:rPr>
                <w:rFonts w:ascii="Aptos" w:hAnsi="Aptos"/>
                <w:b/>
                <w:color w:val="245C8A"/>
                <w:sz w:val="20"/>
              </w:rPr>
              <w:t>Idea central</w:t>
              <w:br/>
            </w:r>
            <w:r>
              <w:rPr>
                <w:rFonts w:ascii="Aptos" w:hAnsi="Aptos"/>
                <w:color w:val="1E252B"/>
                <w:sz w:val="18"/>
              </w:rPr>
              <w:t>Pasar de un flujo «generar y después verificar» a un flujo «seguridad → evidencia → suficiencia → generación restringida → verificación → respuesta».</w:t>
            </w:r>
          </w:p>
        </w:tc>
      </w:tr>
    </w:tbl>
    <w:p>
      <w:pPr>
        <w:pStyle w:val="Heading2"/>
      </w:pPr>
      <w:r>
        <w:t>1.1 Qué significa “más robusto”</w:t>
      </w:r>
    </w:p>
    <w:p>
      <w:pPr>
        <w:pStyle w:val="ListBullet"/>
      </w:pPr>
      <w:r>
        <w:rPr>
          <w:rFonts w:ascii="Aptos" w:hAnsi="Aptos"/>
        </w:rPr>
        <w:t>Tolera mejor fallos parciales de un componente, por ejemplo una recuperación vectorial débil o un segundo modelo no disponible.</w:t>
      </w:r>
    </w:p>
    <w:p>
      <w:pPr>
        <w:pStyle w:val="ListBullet"/>
      </w:pPr>
      <w:r>
        <w:rPr>
          <w:rFonts w:ascii="Aptos" w:hAnsi="Aptos"/>
        </w:rPr>
        <w:t>No depende de una única técnica de búsqueda: combina recuperación léxica, semántica y estructurada.</w:t>
      </w:r>
    </w:p>
    <w:p>
      <w:pPr>
        <w:pStyle w:val="ListBullet"/>
      </w:pPr>
      <w:r>
        <w:rPr>
          <w:rFonts w:ascii="Aptos" w:hAnsi="Aptos"/>
        </w:rPr>
        <w:t>Puede bloquear o degradar una respuesta si faltan evidencias suficientes.</w:t>
      </w:r>
    </w:p>
    <w:p>
      <w:pPr>
        <w:pStyle w:val="ListBullet"/>
      </w:pPr>
      <w:r>
        <w:rPr>
          <w:rFonts w:ascii="Aptos" w:hAnsi="Aptos"/>
        </w:rPr>
        <w:t>Registra por qué una respuesta fue producida, qué fuentes se usaron y qué comprobaciones superó.</w:t>
      </w:r>
    </w:p>
    <w:p>
      <w:pPr>
        <w:pStyle w:val="Heading2"/>
      </w:pPr>
      <w:r>
        <w:t>1.2 Qué significa “más fiable”</w:t>
      </w:r>
    </w:p>
    <w:p>
      <w:r>
        <w:rPr>
          <w:rFonts w:ascii="Aptos" w:hAnsi="Aptos"/>
        </w:rPr>
        <w:t>La fiabilidad clínica no se puede afirmar únicamente por diseño. Esta arquitectura pretende reducir alucinaciones, respuestas sin soporte y fallos de detección de riesgo. La mejora real deberá medirse con un conjunto de validación y revisión por profesionales.</w:t>
      </w:r>
    </w:p>
    <w:p>
      <w:pPr>
        <w:pStyle w:val="Heading1"/>
      </w:pPr>
      <w:r>
        <w:t>2. Arquitectura actual</w:t>
      </w:r>
    </w:p>
    <w:p>
      <w:r>
        <w:rPr>
          <w:rFonts w:ascii="Aptos" w:hAnsi="Aptos"/>
        </w:rPr>
        <w:t>El flujo aportado contiene siete bloques funcionales principales: TBC-AI, Ollama, el motor SOTA, Llamafile, la API bibliográfica, el panel de monitorización y n8n. También se conectan CIMA/AEMPS, PubMed y el proceso de harvesting bibliográfico.</w:t>
      </w:r>
    </w:p>
    <w:p>
      <w:pPr>
        <w:pStyle w:val="Heading2"/>
      </w:pPr>
      <w:r>
        <w:t>2.1 Flujo funcional actual</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Usuario</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/api/chat o /api/patient-chat</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classify_intent → Llama 3.1 8B</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expand_query → Llama</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retrieve → ChromaDB</w:t>
            </w:r>
          </w:p>
          <w:p>
            <w:pPr>
              <w:pStyle w:val="CodeBlock"/>
            </w:pPr>
            <w:r>
              <w:rPr>
                <w:rFonts w:ascii="Liberation Mono" w:hAnsi="Liberation Mono"/>
                <w:color w:val="1E252B"/>
                <w:sz w:val="17"/>
              </w:rPr>
              <w:t xml:space="preserve">  ↓ si no hay suficiente relevancia</w:t>
            </w:r>
          </w:p>
          <w:p>
            <w:pPr>
              <w:pStyle w:val="CodeBlock"/>
            </w:pPr>
            <w:r>
              <w:rPr>
                <w:rFonts w:ascii="Liberation Mono" w:hAnsi="Liberation Mono"/>
                <w:color w:val="1E252B"/>
                <w:sz w:val="17"/>
              </w:rPr>
              <w:t>query_sota_fallback → BM25 + embeddings + CrossEncoder</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generate_response → Llama</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verify_claims_with_llm → Llama</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query_llamafile_response → Mistral</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compare_with_llamafile → Llama</w:t>
            </w:r>
          </w:p>
        </w:tc>
      </w:tr>
    </w:tbl>
    <w:p>
      <w:pPr>
        <w:pStyle w:val="Heading2"/>
      </w:pPr>
      <w:r>
        <w:t>2.2 Fortalezas que mantendría</w:t>
      </w:r>
    </w:p>
    <w:p>
      <w:pPr>
        <w:pStyle w:val="ListBullet"/>
      </w:pPr>
      <w:r>
        <w:rPr>
          <w:rFonts w:ascii="Aptos" w:hAnsi="Aptos"/>
        </w:rPr>
        <w:t>Ejecución local de modelos mediante Ollama y Llamafile.</w:t>
      </w:r>
    </w:p>
    <w:p>
      <w:pPr>
        <w:pStyle w:val="ListBullet"/>
      </w:pPr>
      <w:r>
        <w:rPr>
          <w:rFonts w:ascii="Aptos" w:hAnsi="Aptos"/>
        </w:rPr>
        <w:t>ChromaDB como índice semántico local.</w:t>
      </w:r>
    </w:p>
    <w:p>
      <w:pPr>
        <w:pStyle w:val="ListBullet"/>
      </w:pPr>
      <w:r>
        <w:rPr>
          <w:rFonts w:ascii="Aptos" w:hAnsi="Aptos"/>
        </w:rPr>
        <w:t>Motor complementario con BM25, embeddings y CrossEncoder.</w:t>
      </w:r>
    </w:p>
    <w:p>
      <w:pPr>
        <w:pStyle w:val="ListBullet"/>
      </w:pPr>
      <w:r>
        <w:rPr>
          <w:rFonts w:ascii="Aptos" w:hAnsi="Aptos"/>
        </w:rPr>
        <w:t>Base bibliográfica SQLite + FTS5 separada del almacén vectorial.</w:t>
      </w:r>
    </w:p>
    <w:p>
      <w:pPr>
        <w:pStyle w:val="ListBullet"/>
      </w:pPr>
      <w:r>
        <w:rPr>
          <w:rFonts w:ascii="Aptos" w:hAnsi="Aptos"/>
        </w:rPr>
        <w:t>Consulta oficial a CIMA/AEMPS para seguridad de medicamentos.</w:t>
      </w:r>
    </w:p>
    <w:p>
      <w:pPr>
        <w:pStyle w:val="ListBullet"/>
      </w:pPr>
      <w:r>
        <w:rPr>
          <w:rFonts w:ascii="Aptos" w:hAnsi="Aptos"/>
        </w:rPr>
        <w:t>PubMed en vivo como fuente complementaria y harvesting desde PubMed, Europe PMC, PubTator3 y CrossRef.</w:t>
      </w:r>
    </w:p>
    <w:p>
      <w:pPr>
        <w:pStyle w:val="ListBullet"/>
      </w:pPr>
      <w:r>
        <w:rPr>
          <w:rFonts w:ascii="Aptos" w:hAnsi="Aptos"/>
        </w:rPr>
        <w:t>Panel de salud de servicios y automatización de copias de seguridad.</w:t>
      </w:r>
    </w:p>
    <w:p>
      <w:pPr>
        <w:pStyle w:val="Heading2"/>
      </w:pPr>
      <w:r>
        <w:t>2.3 Puntos que modificaría</w:t>
      </w:r>
    </w:p>
    <w:p>
      <w:pPr>
        <w:pStyle w:val="ListBullet"/>
      </w:pPr>
      <w:r>
        <w:rPr>
          <w:rFonts w:ascii="Aptos" w:hAnsi="Aptos"/>
        </w:rPr>
        <w:t>Las alertas clínicas aparecen dentro del motor SOTA y deberían evaluarse antes de cualquier generación.</w:t>
      </w:r>
    </w:p>
    <w:p>
      <w:pPr>
        <w:pStyle w:val="ListBullet"/>
      </w:pPr>
      <w:r>
        <w:rPr>
          <w:rFonts w:ascii="Aptos" w:hAnsi="Aptos"/>
        </w:rPr>
        <w:t>El motor híbrido funciona como fallback; sería preferible utilizarlo como retrieval principal.</w:t>
      </w:r>
    </w:p>
    <w:p>
      <w:pPr>
        <w:pStyle w:val="ListBullet"/>
      </w:pPr>
      <w:r>
        <w:rPr>
          <w:rFonts w:ascii="Aptos" w:hAnsi="Aptos"/>
        </w:rPr>
        <w:t>Llama clasifica, expande, genera, verifica y compara. Esa concentración aumenta la dependencia del mismo modelo.</w:t>
      </w:r>
    </w:p>
    <w:p>
      <w:pPr>
        <w:pStyle w:val="ListBullet"/>
      </w:pPr>
      <w:r>
        <w:rPr>
          <w:rFonts w:ascii="Aptos" w:hAnsi="Aptos"/>
        </w:rPr>
        <w:t>Falta una representación intermedia explícita de la evidencia recuperada antes de generar.</w:t>
      </w:r>
    </w:p>
    <w:p>
      <w:pPr>
        <w:pStyle w:val="ListBullet"/>
      </w:pPr>
      <w:r>
        <w:rPr>
          <w:rFonts w:ascii="Aptos" w:hAnsi="Aptos"/>
        </w:rPr>
        <w:t>Falta una política explícita de abstención cuando la evidencia es insuficiente o contradictoria.</w:t>
      </w:r>
    </w:p>
    <w:p>
      <w:pPr>
        <w:pStyle w:val="ListBullet"/>
      </w:pPr>
      <w:r>
        <w:rPr>
          <w:rFonts w:ascii="Aptos" w:hAnsi="Aptos"/>
        </w:rPr>
        <w:t>La comparación Llama–Mistral puede reservarse para casos de mayor riesgo o incertidumbre para reducir latencia y consumo.</w:t>
      </w:r>
    </w:p>
    <w:p>
      <w:pPr>
        <w:pStyle w:val="Heading1"/>
      </w:pPr>
      <w:r>
        <w:t>3. Arquitectura propuesta: TBC-AI v2</w:t>
      </w:r>
    </w:p>
    <w:p>
      <w:r>
        <w:rPr>
          <w:rFonts w:ascii="Aptos" w:hAnsi="Aptos"/>
        </w:rPr>
        <w:t>La propuesta separa cinco responsabilidades: seguridad clínica, comprensión de la consulta, recuperación de evidencia, generación de la respuesta y verificación. Cada bloque puede fallar o rechazar una respuesta sin depender exclusivamente del LLM.</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Pregunta</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Normalización e idioma</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CLINICAL SAFETY ROUTER</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Intent + entidades clínicas</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Query builder / expansion</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BM25 + Chroma + FTS5</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RRF / fusión de resultados</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CrossEncoder reranking</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Jerarquía + vigencia + diversidad de fuentes</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EVIDENCE PACK</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Evidence sufficiency / contradicciones</w:t>
            </w:r>
          </w:p>
          <w:p>
            <w:pPr>
              <w:pStyle w:val="CodeBlock"/>
            </w:pPr>
            <w:r>
              <w:rPr>
                <w:rFonts w:ascii="Liberation Mono" w:hAnsi="Liberation Mono"/>
                <w:color w:val="1E252B"/>
                <w:sz w:val="17"/>
              </w:rPr>
              <w:t xml:space="preserve">   ├── insuficiente → abstención / derivación</w:t>
            </w:r>
          </w:p>
          <w:p>
            <w:pPr>
              <w:pStyle w:val="CodeBlock"/>
            </w:pPr>
            <w:r>
              <w:rPr>
                <w:rFonts w:ascii="Liberation Mono" w:hAnsi="Liberation Mono"/>
                <w:color w:val="1E252B"/>
                <w:sz w:val="17"/>
              </w:rPr>
              <w:t xml:space="preserve">   └── suficiente</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Llama 3.1</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extracción de afirmaciones</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verificación claim-level</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Mistral si riesgo/duda/conflicto</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Safety Gate final</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Respuesta + fuentes + trazabilidad</w:t>
            </w:r>
          </w:p>
        </w:tc>
      </w:tr>
    </w:tbl>
    <w:p>
      <w:pPr>
        <w:pStyle w:val="Heading1"/>
      </w:pPr>
      <w:r>
        <w:t>4. Módulo 1 · Clinical Safety Router</w:t>
      </w:r>
    </w:p>
    <w:p>
      <w:r>
        <w:rPr>
          <w:rFonts w:ascii="Aptos" w:hAnsi="Aptos"/>
        </w:rPr>
        <w:t>La seguridad debe evaluarse antes del retrieval normal. No conviene esperar a que un LLM reconozca una situación potencialmente peligrosa. El router puede combinar reglas deterministas, patrones, entidades y, si se desea, una clasificación secundaria por LLM sin darle la última palabra.</w:t>
      </w:r>
    </w:p>
    <w:p>
      <w:pPr>
        <w:pStyle w:val="Heading2"/>
      </w:pPr>
      <w:r>
        <w:t>4.1 Ejemplo: etambutol y visión</w:t>
      </w:r>
    </w:p>
    <w:p>
      <w:r>
        <w:rPr>
          <w:rFonts w:ascii="Aptos" w:hAnsi="Aptos"/>
        </w:rPr>
        <w:t>Consulta: «Tomo etambutol y desde ayer veo borroso.»</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w:t>
            </w:r>
          </w:p>
          <w:p>
            <w:pPr>
              <w:pStyle w:val="CodeBlock"/>
            </w:pPr>
            <w:r>
              <w:rPr>
                <w:rFonts w:ascii="Liberation Mono" w:hAnsi="Liberation Mono"/>
                <w:color w:val="1E252B"/>
                <w:sz w:val="17"/>
              </w:rPr>
              <w:t xml:space="preserve">  "risk_level": "HIGH",</w:t>
            </w:r>
          </w:p>
          <w:p>
            <w:pPr>
              <w:pStyle w:val="CodeBlock"/>
            </w:pPr>
            <w:r>
              <w:rPr>
                <w:rFonts w:ascii="Liberation Mono" w:hAnsi="Liberation Mono"/>
                <w:color w:val="1E252B"/>
                <w:sz w:val="17"/>
              </w:rPr>
              <w:t xml:space="preserve">  "trigger": "ethambutol_visual_symptoms",</w:t>
            </w:r>
          </w:p>
          <w:p>
            <w:pPr>
              <w:pStyle w:val="CodeBlock"/>
            </w:pPr>
            <w:r>
              <w:rPr>
                <w:rFonts w:ascii="Liberation Mono" w:hAnsi="Liberation Mono"/>
                <w:color w:val="1E252B"/>
                <w:sz w:val="17"/>
              </w:rPr>
              <w:t xml:space="preserve">  "drug": "ethambutol",</w:t>
            </w:r>
          </w:p>
          <w:p>
            <w:pPr>
              <w:pStyle w:val="CodeBlock"/>
            </w:pPr>
            <w:r>
              <w:rPr>
                <w:rFonts w:ascii="Liberation Mono" w:hAnsi="Liberation Mono"/>
                <w:color w:val="1E252B"/>
                <w:sz w:val="17"/>
              </w:rPr>
              <w:t xml:space="preserve">  "symptom": "blurred_vision",</w:t>
            </w:r>
          </w:p>
          <w:p>
            <w:pPr>
              <w:pStyle w:val="CodeBlock"/>
            </w:pPr>
            <w:r>
              <w:rPr>
                <w:rFonts w:ascii="Liberation Mono" w:hAnsi="Liberation Mono"/>
                <w:color w:val="1E252B"/>
                <w:sz w:val="17"/>
              </w:rPr>
              <w:t xml:space="preserve">  "action": "clinical_escalation"</w:t>
            </w:r>
          </w:p>
          <w:p>
            <w:pPr>
              <w:pStyle w:val="CodeBlock"/>
            </w:pPr>
            <w:r>
              <w:rPr>
                <w:rFonts w:ascii="Liberation Mono" w:hAnsi="Liberation Mono"/>
                <w:color w:val="1E252B"/>
                <w:sz w:val="17"/>
              </w:rPr>
              <w:t>}</w:t>
            </w:r>
          </w:p>
        </w:tc>
      </w:tr>
    </w:tbl>
    <w:p>
      <w:r>
        <w:rPr>
          <w:rFonts w:ascii="Aptos" w:hAnsi="Aptos"/>
        </w:rPr>
        <w:t>El sistema puede recuperar después la evidencia necesaria para redactar una respuesta correcta, pero la etiqueta de riesgo ya ha sido activada de forma independiente.</w:t>
      </w:r>
    </w:p>
    <w:p>
      <w:pPr>
        <w:pStyle w:val="Heading2"/>
      </w:pPr>
      <w:r>
        <w:t>4.2 Familias de reglas iniciales</w:t>
      </w:r>
    </w:p>
    <w:p>
      <w:pPr>
        <w:pStyle w:val="ListBullet"/>
      </w:pPr>
      <w:r>
        <w:rPr>
          <w:rFonts w:ascii="Aptos" w:hAnsi="Aptos"/>
        </w:rPr>
        <w:t>Etambutol + visión borrosa, alteración de colores o pérdida visual.</w:t>
      </w:r>
    </w:p>
    <w:p>
      <w:pPr>
        <w:pStyle w:val="ListBullet"/>
      </w:pPr>
      <w:r>
        <w:rPr>
          <w:rFonts w:ascii="Aptos" w:hAnsi="Aptos"/>
        </w:rPr>
        <w:t>Isoniazida + síntomas compatibles con neuropatía periférica.</w:t>
      </w:r>
    </w:p>
    <w:p>
      <w:pPr>
        <w:pStyle w:val="ListBullet"/>
      </w:pPr>
      <w:r>
        <w:rPr>
          <w:rFonts w:ascii="Aptos" w:hAnsi="Aptos"/>
        </w:rPr>
        <w:t>Síntomas compatibles con hepatotoxicidad durante tratamiento antituberculoso.</w:t>
      </w:r>
    </w:p>
    <w:p>
      <w:pPr>
        <w:pStyle w:val="ListBullet"/>
      </w:pPr>
      <w:r>
        <w:rPr>
          <w:rFonts w:ascii="Aptos" w:hAnsi="Aptos"/>
        </w:rPr>
        <w:t>Síncope/palpitaciones en esquemas con riesgo de prolongación QT.</w:t>
      </w:r>
    </w:p>
    <w:p>
      <w:pPr>
        <w:pStyle w:val="ListBullet"/>
      </w:pPr>
      <w:r>
        <w:rPr>
          <w:rFonts w:ascii="Aptos" w:hAnsi="Aptos"/>
        </w:rPr>
        <w:t>Hemoptisis relevante, disnea, deterioro clínico marcado o reacción alérgica.</w:t>
      </w:r>
    </w:p>
    <w:p>
      <w:pPr>
        <w:pStyle w:val="ListBullet"/>
      </w:pPr>
      <w:r>
        <w:rPr>
          <w:rFonts w:ascii="Aptos" w:hAnsi="Aptos"/>
        </w:rPr>
        <w:t>Sobredosis, doble dosis o error de medicación.</w:t>
      </w:r>
    </w:p>
    <w:p>
      <w:pPr>
        <w:pStyle w:val="ListBullet"/>
      </w:pPr>
      <w:r>
        <w:rPr>
          <w:rFonts w:ascii="Aptos" w:hAnsi="Aptos"/>
        </w:rPr>
        <w:t>Embarazo/lactancia, pediatría, insuficiencia renal o hepática como modificadores de ruta.</w:t>
      </w:r>
    </w:p>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A75B17"/>
            <w:tcMar>
              <w:top w:w="40" w:type="dxa"/>
              <w:start w:w="0" w:type="dxa"/>
              <w:bottom w:w="40" w:type="dxa"/>
              <w:end w:w="0" w:type="dxa"/>
            </w:tcMar>
            <w:vAlign w:val="center"/>
          </w:tcPr>
          <w:p/>
        </w:tc>
        <w:tc>
          <w:tcPr>
            <w:tcW w:type="dxa" w:w="5040"/>
            <w:shd w:fill="FFF4E8"/>
            <w:tcMar>
              <w:top w:w="120" w:type="dxa"/>
              <w:start w:w="150" w:type="dxa"/>
              <w:bottom w:w="120" w:type="dxa"/>
              <w:end w:w="150" w:type="dxa"/>
            </w:tcMar>
            <w:vAlign w:val="center"/>
          </w:tcPr>
          <w:p>
            <w:r>
              <w:rPr>
                <w:rFonts w:ascii="Aptos" w:hAnsi="Aptos"/>
                <w:b/>
                <w:color w:val="A75B17"/>
                <w:sz w:val="20"/>
              </w:rPr>
              <w:t>Diseño recomendado</w:t>
              <w:br/>
            </w:r>
            <w:r>
              <w:rPr>
                <w:rFonts w:ascii="Aptos" w:hAnsi="Aptos"/>
                <w:color w:val="1E252B"/>
                <w:sz w:val="18"/>
              </w:rPr>
              <w:t>Las reglas deben activar una ruta de seguridad, no emitir por sí solas una recomendación terapéutica completa. La respuesta final debe apoyarse en una fuente clínica/regulatoria adecuada.</w:t>
            </w:r>
          </w:p>
        </w:tc>
      </w:tr>
    </w:tbl>
    <w:p>
      <w:pPr>
        <w:pStyle w:val="Heading1"/>
      </w:pPr>
      <w:r>
        <w:t>5. Módulo 2 · Intent + extracción de entidades clínicas</w:t>
      </w:r>
    </w:p>
    <w:p>
      <w:r>
        <w:rPr>
          <w:rFonts w:ascii="Aptos" w:hAnsi="Aptos"/>
        </w:rPr>
        <w:t>Separaría la clasificación de intención de la extracción de entidades. Saber que una consulta es «medicación» es insuficiente para recuperar bien la evidencia.</w:t>
      </w:r>
    </w:p>
    <w:p>
      <w:pPr>
        <w:pStyle w:val="Heading2"/>
      </w:pPr>
      <w:r>
        <w:t>5.1 Ejemplo</w:t>
      </w:r>
    </w:p>
    <w:p>
      <w:r>
        <w:rPr>
          <w:rFonts w:ascii="Aptos" w:hAnsi="Aptos"/>
        </w:rPr>
        <w:t>Consulta: «Ayer olvidé la rifampicina y hoy he tomado dos comprimidos.»</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w:t>
            </w:r>
          </w:p>
          <w:p>
            <w:pPr>
              <w:pStyle w:val="CodeBlock"/>
            </w:pPr>
            <w:r>
              <w:rPr>
                <w:rFonts w:ascii="Liberation Mono" w:hAnsi="Liberation Mono"/>
                <w:color w:val="1E252B"/>
                <w:sz w:val="17"/>
              </w:rPr>
              <w:t xml:space="preserve">  "intent": "medication_error",</w:t>
            </w:r>
          </w:p>
          <w:p>
            <w:pPr>
              <w:pStyle w:val="CodeBlock"/>
            </w:pPr>
            <w:r>
              <w:rPr>
                <w:rFonts w:ascii="Liberation Mono" w:hAnsi="Liberation Mono"/>
                <w:color w:val="1E252B"/>
                <w:sz w:val="17"/>
              </w:rPr>
              <w:t xml:space="preserve">  "entities": {</w:t>
            </w:r>
          </w:p>
          <w:p>
            <w:pPr>
              <w:pStyle w:val="CodeBlock"/>
            </w:pPr>
            <w:r>
              <w:rPr>
                <w:rFonts w:ascii="Liberation Mono" w:hAnsi="Liberation Mono"/>
                <w:color w:val="1E252B"/>
                <w:sz w:val="17"/>
              </w:rPr>
              <w:t xml:space="preserve">    "drug": ["rifampicin"],</w:t>
            </w:r>
          </w:p>
          <w:p>
            <w:pPr>
              <w:pStyle w:val="CodeBlock"/>
            </w:pPr>
            <w:r>
              <w:rPr>
                <w:rFonts w:ascii="Liberation Mono" w:hAnsi="Liberation Mono"/>
                <w:color w:val="1E252B"/>
                <w:sz w:val="17"/>
              </w:rPr>
              <w:t xml:space="preserve">    "event": "double_dose",</w:t>
            </w:r>
          </w:p>
          <w:p>
            <w:pPr>
              <w:pStyle w:val="CodeBlock"/>
            </w:pPr>
            <w:r>
              <w:rPr>
                <w:rFonts w:ascii="Liberation Mono" w:hAnsi="Liberation Mono"/>
                <w:color w:val="1E252B"/>
                <w:sz w:val="17"/>
              </w:rPr>
              <w:t xml:space="preserve">    "previous_event": "missed_dose",</w:t>
            </w:r>
          </w:p>
          <w:p>
            <w:pPr>
              <w:pStyle w:val="CodeBlock"/>
            </w:pPr>
            <w:r>
              <w:rPr>
                <w:rFonts w:ascii="Liberation Mono" w:hAnsi="Liberation Mono"/>
                <w:color w:val="1E252B"/>
                <w:sz w:val="17"/>
              </w:rPr>
              <w:t xml:space="preserve">    "time": "today"</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"risk_route": "medication_safety"</w:t>
            </w:r>
          </w:p>
          <w:p>
            <w:pPr>
              <w:pStyle w:val="CodeBlock"/>
            </w:pPr>
            <w:r>
              <w:rPr>
                <w:rFonts w:ascii="Liberation Mono" w:hAnsi="Liberation Mono"/>
                <w:color w:val="1E252B"/>
                <w:sz w:val="17"/>
              </w:rPr>
              <w:t>}</w:t>
            </w:r>
          </w:p>
        </w:tc>
      </w:tr>
    </w:tbl>
    <w:p>
      <w:pPr>
        <w:pStyle w:val="Heading2"/>
      </w:pPr>
      <w:r>
        <w:t>5.2 Entidades útiles</w:t>
      </w:r>
    </w:p>
    <w:p>
      <w:pPr>
        <w:pStyle w:val="ListBullet"/>
      </w:pPr>
      <w:r>
        <w:rPr>
          <w:rFonts w:ascii="Aptos" w:hAnsi="Aptos"/>
        </w:rPr>
        <w:t>fármaco y combinación terapéutica</w:t>
      </w:r>
    </w:p>
    <w:p>
      <w:pPr>
        <w:pStyle w:val="ListBullet"/>
      </w:pPr>
      <w:r>
        <w:rPr>
          <w:rFonts w:ascii="Aptos" w:hAnsi="Aptos"/>
        </w:rPr>
        <w:t>dosis y frecuencia</w:t>
      </w:r>
    </w:p>
    <w:p>
      <w:pPr>
        <w:pStyle w:val="ListBullet"/>
      </w:pPr>
      <w:r>
        <w:rPr>
          <w:rFonts w:ascii="Aptos" w:hAnsi="Aptos"/>
        </w:rPr>
        <w:t>síntoma y duración</w:t>
      </w:r>
    </w:p>
    <w:p>
      <w:pPr>
        <w:pStyle w:val="ListBullet"/>
      </w:pPr>
      <w:r>
        <w:rPr>
          <w:rFonts w:ascii="Aptos" w:hAnsi="Aptos"/>
        </w:rPr>
        <w:t>edad/grupo pediátrico</w:t>
      </w:r>
    </w:p>
    <w:p>
      <w:pPr>
        <w:pStyle w:val="ListBullet"/>
      </w:pPr>
      <w:r>
        <w:rPr>
          <w:rFonts w:ascii="Aptos" w:hAnsi="Aptos"/>
        </w:rPr>
        <w:t>embarazo/lactancia</w:t>
      </w:r>
    </w:p>
    <w:p>
      <w:pPr>
        <w:pStyle w:val="ListBullet"/>
      </w:pPr>
      <w:r>
        <w:rPr>
          <w:rFonts w:ascii="Aptos" w:hAnsi="Aptos"/>
        </w:rPr>
        <w:t>función renal o hepática</w:t>
      </w:r>
    </w:p>
    <w:p>
      <w:pPr>
        <w:pStyle w:val="ListBullet"/>
      </w:pPr>
      <w:r>
        <w:rPr>
          <w:rFonts w:ascii="Aptos" w:hAnsi="Aptos"/>
        </w:rPr>
        <w:t>TB sensible, RR/MDR u otra resistencia</w:t>
      </w:r>
    </w:p>
    <w:p>
      <w:pPr>
        <w:pStyle w:val="ListBullet"/>
      </w:pPr>
      <w:r>
        <w:rPr>
          <w:rFonts w:ascii="Aptos" w:hAnsi="Aptos"/>
        </w:rPr>
        <w:t>adherencia y dosis omitida</w:t>
      </w:r>
    </w:p>
    <w:p>
      <w:pPr>
        <w:pStyle w:val="ListBullet"/>
      </w:pPr>
      <w:r>
        <w:rPr>
          <w:rFonts w:ascii="Aptos" w:hAnsi="Aptos"/>
        </w:rPr>
        <w:t>interacción con otros medicamentos</w:t>
      </w:r>
    </w:p>
    <w:p>
      <w:pPr>
        <w:pStyle w:val="ListBullet"/>
      </w:pPr>
      <w:r>
        <w:rPr>
          <w:rFonts w:ascii="Aptos" w:hAnsi="Aptos"/>
        </w:rPr>
        <w:t>prueba diagnóstica o resultado microbiológico</w:t>
      </w:r>
    </w:p>
    <w:p>
      <w:pPr>
        <w:pStyle w:val="Heading1"/>
      </w:pPr>
      <w:r>
        <w:t>6. Módulo 3 · Retrieval híbrido como motor principal</w:t>
      </w:r>
    </w:p>
    <w:p>
      <w:r>
        <w:rPr>
          <w:rFonts w:ascii="Aptos" w:hAnsi="Aptos"/>
        </w:rPr>
        <w:t>El cambio técnico con mayor capacidad de mejorar la recuperación es dejar de usar el motor SOTA únicamente como fallback. La consulta debería ejecutarse en paralelo contra varias representaciones y fusionar los resultados antes del reranking.</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 xml:space="preserve">                  ┌→ BM25 ─────────────┐</w:t>
            </w:r>
          </w:p>
          <w:p>
            <w:pPr>
              <w:pStyle w:val="CodeBlock"/>
            </w:pPr>
            <w:r>
              <w:rPr>
                <w:rFonts w:ascii="Liberation Mono" w:hAnsi="Liberation Mono"/>
                <w:color w:val="1E252B"/>
                <w:sz w:val="17"/>
              </w:rPr>
              <w:t>Pregunta → Query ──┼→ Chroma embeddings ├→ RRF → CrossEncoder → Top evidence</w:t>
            </w:r>
          </w:p>
          <w:p>
            <w:pPr>
              <w:pStyle w:val="CodeBlock"/>
            </w:pPr>
            <w:r>
              <w:rPr>
                <w:rFonts w:ascii="Liberation Mono" w:hAnsi="Liberation Mono"/>
                <w:color w:val="1E252B"/>
                <w:sz w:val="17"/>
              </w:rPr>
              <w:t xml:space="preserve">                  └→ SQLite FTS5 ──────┘</w:t>
            </w:r>
          </w:p>
        </w:tc>
      </w:tr>
    </w:tbl>
    <w:p>
      <w:pPr>
        <w:pStyle w:val="Heading2"/>
      </w:pPr>
      <w:r>
        <w:t>6.1 Por qué combinar los tres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6324F"/>
            <w:vAlign w:val="center"/>
          </w:tcPr>
          <w:p>
            <w:r>
              <w:rPr>
                <w:rFonts w:ascii="Aptos" w:hAnsi="Aptos"/>
                <w:b/>
                <w:color w:val="FFFFFF"/>
                <w:sz w:val="17"/>
              </w:rPr>
              <w:t>Motor</w:t>
            </w:r>
          </w:p>
        </w:tc>
        <w:tc>
          <w:tcPr>
            <w:tcW w:type="dxa" w:w="2520"/>
            <w:shd w:fill="16324F"/>
            <w:vAlign w:val="center"/>
          </w:tcPr>
          <w:p>
            <w:r>
              <w:rPr>
                <w:rFonts w:ascii="Aptos" w:hAnsi="Aptos"/>
                <w:b/>
                <w:color w:val="FFFFFF"/>
                <w:sz w:val="17"/>
              </w:rPr>
              <w:t>Qué recupera bien</w:t>
            </w:r>
          </w:p>
        </w:tc>
        <w:tc>
          <w:tcPr>
            <w:tcW w:type="dxa" w:w="2520"/>
            <w:shd w:fill="16324F"/>
            <w:vAlign w:val="center"/>
          </w:tcPr>
          <w:p>
            <w:r>
              <w:rPr>
                <w:rFonts w:ascii="Aptos" w:hAnsi="Aptos"/>
                <w:b/>
                <w:color w:val="FFFFFF"/>
                <w:sz w:val="17"/>
              </w:rPr>
              <w:t>Ejemplo</w:t>
            </w:r>
          </w:p>
        </w:tc>
        <w:tc>
          <w:tcPr>
            <w:tcW w:type="dxa" w:w="2520"/>
            <w:shd w:fill="16324F"/>
            <w:vAlign w:val="center"/>
          </w:tcPr>
          <w:p>
            <w:r>
              <w:rPr>
                <w:rFonts w:ascii="Aptos" w:hAnsi="Aptos"/>
                <w:b/>
                <w:color w:val="FFFFFF"/>
                <w:sz w:val="17"/>
              </w:rPr>
              <w:t>Limitación principal</w:t>
            </w:r>
          </w:p>
        </w:tc>
      </w:tr>
      <w:tr>
        <w:trPr>
          <w:cantSplit/>
        </w:trPr>
        <w:tc>
          <w:tcPr>
            <w:tcW w:type="dxa" w:w="2520"/>
            <w:tcMar>
              <w:top w:w="80" w:type="dxa"/>
              <w:start w:w="90" w:type="dxa"/>
              <w:bottom w:w="80" w:type="dxa"/>
              <w:end w:w="90" w:type="dxa"/>
            </w:tcMar>
            <w:vAlign w:val="center"/>
          </w:tcPr>
          <w:p>
            <w:r>
              <w:rPr>
                <w:rFonts w:ascii="Aptos" w:hAnsi="Aptos"/>
                <w:sz w:val="16"/>
              </w:rPr>
              <w:t>BM25</w:t>
            </w:r>
          </w:p>
        </w:tc>
        <w:tc>
          <w:tcPr>
            <w:tcW w:type="dxa" w:w="2520"/>
            <w:tcMar>
              <w:top w:w="80" w:type="dxa"/>
              <w:start w:w="90" w:type="dxa"/>
              <w:bottom w:w="80" w:type="dxa"/>
              <w:end w:w="90" w:type="dxa"/>
            </w:tcMar>
            <w:vAlign w:val="center"/>
          </w:tcPr>
          <w:p>
            <w:r>
              <w:rPr>
                <w:rFonts w:ascii="Aptos" w:hAnsi="Aptos"/>
                <w:sz w:val="16"/>
              </w:rPr>
              <w:t>Coincidencia léxica exacta</w:t>
            </w:r>
          </w:p>
        </w:tc>
        <w:tc>
          <w:tcPr>
            <w:tcW w:type="dxa" w:w="2520"/>
            <w:tcMar>
              <w:top w:w="80" w:type="dxa"/>
              <w:start w:w="90" w:type="dxa"/>
              <w:bottom w:w="80" w:type="dxa"/>
              <w:end w:w="90" w:type="dxa"/>
            </w:tcMar>
            <w:vAlign w:val="center"/>
          </w:tcPr>
          <w:p>
            <w:r>
              <w:rPr>
                <w:rFonts w:ascii="Aptos" w:hAnsi="Aptos"/>
                <w:sz w:val="16"/>
              </w:rPr>
              <w:t>etambutol, rifampicina, QT</w:t>
            </w:r>
          </w:p>
        </w:tc>
        <w:tc>
          <w:tcPr>
            <w:tcW w:type="dxa" w:w="2520"/>
            <w:tcMar>
              <w:top w:w="80" w:type="dxa"/>
              <w:start w:w="90" w:type="dxa"/>
              <w:bottom w:w="80" w:type="dxa"/>
              <w:end w:w="90" w:type="dxa"/>
            </w:tcMar>
            <w:vAlign w:val="center"/>
          </w:tcPr>
          <w:p>
            <w:r>
              <w:rPr>
                <w:rFonts w:ascii="Aptos" w:hAnsi="Aptos"/>
                <w:sz w:val="16"/>
              </w:rPr>
              <w:t>Pierde paráfrasis</w:t>
            </w:r>
          </w:p>
        </w:tc>
      </w:tr>
      <w:tr>
        <w:trPr>
          <w:cantSplit/>
        </w:trPr>
        <w:tc>
          <w:tcPr>
            <w:tcW w:type="dxa" w:w="2520"/>
            <w:tcMar>
              <w:top w:w="80" w:type="dxa"/>
              <w:start w:w="90" w:type="dxa"/>
              <w:bottom w:w="80" w:type="dxa"/>
              <w:end w:w="90" w:type="dxa"/>
            </w:tcMar>
            <w:vAlign w:val="center"/>
          </w:tcPr>
          <w:p>
            <w:r>
              <w:rPr>
                <w:rFonts w:ascii="Aptos" w:hAnsi="Aptos"/>
                <w:sz w:val="16"/>
              </w:rPr>
              <w:t>Chroma/embeddings</w:t>
            </w:r>
          </w:p>
        </w:tc>
        <w:tc>
          <w:tcPr>
            <w:tcW w:type="dxa" w:w="2520"/>
            <w:tcMar>
              <w:top w:w="80" w:type="dxa"/>
              <w:start w:w="90" w:type="dxa"/>
              <w:bottom w:w="80" w:type="dxa"/>
              <w:end w:w="90" w:type="dxa"/>
            </w:tcMar>
            <w:vAlign w:val="center"/>
          </w:tcPr>
          <w:p>
            <w:r>
              <w:rPr>
                <w:rFonts w:ascii="Aptos" w:hAnsi="Aptos"/>
                <w:sz w:val="16"/>
              </w:rPr>
              <w:t>Similitud semántica</w:t>
            </w:r>
          </w:p>
        </w:tc>
        <w:tc>
          <w:tcPr>
            <w:tcW w:type="dxa" w:w="2520"/>
            <w:tcMar>
              <w:top w:w="80" w:type="dxa"/>
              <w:start w:w="90" w:type="dxa"/>
              <w:bottom w:w="80" w:type="dxa"/>
              <w:end w:w="90" w:type="dxa"/>
            </w:tcMar>
            <w:vAlign w:val="center"/>
          </w:tcPr>
          <w:p>
            <w:r>
              <w:rPr>
                <w:rFonts w:ascii="Aptos" w:hAnsi="Aptos"/>
                <w:sz w:val="16"/>
              </w:rPr>
              <w:t>“veo borroso” ~ alteración visual</w:t>
            </w:r>
          </w:p>
        </w:tc>
        <w:tc>
          <w:tcPr>
            <w:tcW w:type="dxa" w:w="2520"/>
            <w:tcMar>
              <w:top w:w="80" w:type="dxa"/>
              <w:start w:w="90" w:type="dxa"/>
              <w:bottom w:w="80" w:type="dxa"/>
              <w:end w:w="90" w:type="dxa"/>
            </w:tcMar>
            <w:vAlign w:val="center"/>
          </w:tcPr>
          <w:p>
            <w:r>
              <w:rPr>
                <w:rFonts w:ascii="Aptos" w:hAnsi="Aptos"/>
                <w:sz w:val="16"/>
              </w:rPr>
              <w:t>Puede priorizar texto semánticamente similar pero poco específico</w:t>
            </w:r>
          </w:p>
        </w:tc>
      </w:tr>
      <w:tr>
        <w:trPr>
          <w:cantSplit/>
        </w:trPr>
        <w:tc>
          <w:tcPr>
            <w:tcW w:type="dxa" w:w="2520"/>
            <w:tcMar>
              <w:top w:w="80" w:type="dxa"/>
              <w:start w:w="90" w:type="dxa"/>
              <w:bottom w:w="80" w:type="dxa"/>
              <w:end w:w="90" w:type="dxa"/>
            </w:tcMar>
            <w:vAlign w:val="center"/>
          </w:tcPr>
          <w:p>
            <w:r>
              <w:rPr>
                <w:rFonts w:ascii="Aptos" w:hAnsi="Aptos"/>
                <w:sz w:val="16"/>
              </w:rPr>
              <w:t>FTS5</w:t>
            </w:r>
          </w:p>
        </w:tc>
        <w:tc>
          <w:tcPr>
            <w:tcW w:type="dxa" w:w="2520"/>
            <w:tcMar>
              <w:top w:w="80" w:type="dxa"/>
              <w:start w:w="90" w:type="dxa"/>
              <w:bottom w:w="80" w:type="dxa"/>
              <w:end w:w="90" w:type="dxa"/>
            </w:tcMar>
            <w:vAlign w:val="center"/>
          </w:tcPr>
          <w:p>
            <w:r>
              <w:rPr>
                <w:rFonts w:ascii="Aptos" w:hAnsi="Aptos"/>
                <w:sz w:val="16"/>
              </w:rPr>
              <w:t>Búsqueda estructurada en bibliografía</w:t>
            </w:r>
          </w:p>
        </w:tc>
        <w:tc>
          <w:tcPr>
            <w:tcW w:type="dxa" w:w="2520"/>
            <w:tcMar>
              <w:top w:w="80" w:type="dxa"/>
              <w:start w:w="90" w:type="dxa"/>
              <w:bottom w:w="80" w:type="dxa"/>
              <w:end w:w="90" w:type="dxa"/>
            </w:tcMar>
            <w:vAlign w:val="center"/>
          </w:tcPr>
          <w:p>
            <w:r>
              <w:rPr>
                <w:rFonts w:ascii="Aptos" w:hAnsi="Aptos"/>
                <w:sz w:val="16"/>
              </w:rPr>
              <w:t>título, autores, términos</w:t>
            </w:r>
          </w:p>
        </w:tc>
        <w:tc>
          <w:tcPr>
            <w:tcW w:type="dxa" w:w="2520"/>
            <w:tcMar>
              <w:top w:w="80" w:type="dxa"/>
              <w:start w:w="90" w:type="dxa"/>
              <w:bottom w:w="80" w:type="dxa"/>
              <w:end w:w="90" w:type="dxa"/>
            </w:tcMar>
            <w:vAlign w:val="center"/>
          </w:tcPr>
          <w:p>
            <w:r>
              <w:rPr>
                <w:rFonts w:ascii="Aptos" w:hAnsi="Aptos"/>
                <w:sz w:val="16"/>
              </w:rPr>
              <w:t>Depende de los campos indexados</w:t>
            </w:r>
          </w:p>
        </w:tc>
      </w:tr>
      <w:tr>
        <w:trPr>
          <w:cantSplit/>
        </w:trPr>
        <w:tc>
          <w:tcPr>
            <w:tcW w:type="dxa" w:w="2520"/>
            <w:tcMar>
              <w:top w:w="80" w:type="dxa"/>
              <w:start w:w="90" w:type="dxa"/>
              <w:bottom w:w="80" w:type="dxa"/>
              <w:end w:w="90" w:type="dxa"/>
            </w:tcMar>
            <w:vAlign w:val="center"/>
          </w:tcPr>
          <w:p>
            <w:r>
              <w:rPr>
                <w:rFonts w:ascii="Aptos" w:hAnsi="Aptos"/>
                <w:sz w:val="16"/>
              </w:rPr>
              <w:t>CrossEncoder</w:t>
            </w:r>
          </w:p>
        </w:tc>
        <w:tc>
          <w:tcPr>
            <w:tcW w:type="dxa" w:w="2520"/>
            <w:tcMar>
              <w:top w:w="80" w:type="dxa"/>
              <w:start w:w="90" w:type="dxa"/>
              <w:bottom w:w="80" w:type="dxa"/>
              <w:end w:w="90" w:type="dxa"/>
            </w:tcMar>
            <w:vAlign w:val="center"/>
          </w:tcPr>
          <w:p>
            <w:r>
              <w:rPr>
                <w:rFonts w:ascii="Aptos" w:hAnsi="Aptos"/>
                <w:sz w:val="16"/>
              </w:rPr>
              <w:t>Reordena pares pregunta-documento</w:t>
            </w:r>
          </w:p>
        </w:tc>
        <w:tc>
          <w:tcPr>
            <w:tcW w:type="dxa" w:w="2520"/>
            <w:tcMar>
              <w:top w:w="80" w:type="dxa"/>
              <w:start w:w="90" w:type="dxa"/>
              <w:bottom w:w="80" w:type="dxa"/>
              <w:end w:w="90" w:type="dxa"/>
            </w:tcMar>
            <w:vAlign w:val="center"/>
          </w:tcPr>
          <w:p>
            <w:r>
              <w:rPr>
                <w:rFonts w:ascii="Aptos" w:hAnsi="Aptos"/>
                <w:sz w:val="16"/>
              </w:rPr>
              <w:t>selección final de chunks</w:t>
            </w:r>
          </w:p>
        </w:tc>
        <w:tc>
          <w:tcPr>
            <w:tcW w:type="dxa" w:w="2520"/>
            <w:tcMar>
              <w:top w:w="80" w:type="dxa"/>
              <w:start w:w="90" w:type="dxa"/>
              <w:bottom w:w="80" w:type="dxa"/>
              <w:end w:w="90" w:type="dxa"/>
            </w:tcMar>
            <w:vAlign w:val="center"/>
          </w:tcPr>
          <w:p>
            <w:r>
              <w:rPr>
                <w:rFonts w:ascii="Aptos" w:hAnsi="Aptos"/>
                <w:sz w:val="16"/>
              </w:rPr>
              <w:t>Más coste computacional</w:t>
            </w:r>
          </w:p>
        </w:tc>
      </w:tr>
    </w:tbl>
    <w:p>
      <w:pPr>
        <w:pStyle w:val="Heading2"/>
      </w:pPr>
      <w:r>
        <w:t>6.2 Fusión</w:t>
      </w:r>
    </w:p>
    <w:p>
      <w:r>
        <w:rPr>
          <w:rFonts w:ascii="Aptos" w:hAnsi="Aptos"/>
        </w:rPr>
        <w:t>Usaría Reciprocal Rank Fusion (RRF) o una estrategia equivalente para combinar listas sin depender de que todos los motores produzcan scores directamente comparables. Después aplicaría CrossEncoder sobre un conjunto reducido.</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 Pseudocódigo</w:t>
            </w:r>
          </w:p>
          <w:p>
            <w:pPr>
              <w:pStyle w:val="CodeBlock"/>
            </w:pPr>
            <w:r>
              <w:rPr>
                <w:rFonts w:ascii="Liberation Mono" w:hAnsi="Liberation Mono"/>
                <w:color w:val="1E252B"/>
                <w:sz w:val="17"/>
              </w:rPr>
              <w:t>bm25_hits   = bm25.search(query, top_k=30)</w:t>
            </w:r>
          </w:p>
          <w:p>
            <w:pPr>
              <w:pStyle w:val="CodeBlock"/>
            </w:pPr>
            <w:r>
              <w:rPr>
                <w:rFonts w:ascii="Liberation Mono" w:hAnsi="Liberation Mono"/>
                <w:color w:val="1E252B"/>
                <w:sz w:val="17"/>
              </w:rPr>
              <w:t>vector_hits = chroma.search(query, top_k=30)</w:t>
            </w:r>
          </w:p>
          <w:p>
            <w:pPr>
              <w:pStyle w:val="CodeBlock"/>
            </w:pPr>
            <w:r>
              <w:rPr>
                <w:rFonts w:ascii="Liberation Mono" w:hAnsi="Liberation Mono"/>
                <w:color w:val="1E252B"/>
                <w:sz w:val="17"/>
              </w:rPr>
              <w:t>fts_hits    = master_db.search(query, top_k=30)</w:t>
            </w:r>
          </w:p>
          <w:p>
            <w:pPr>
              <w:pStyle w:val="CodeBlock"/>
            </w:pPr>
            <w:r>
              <w:rPr>
                <w:rFonts w:ascii="Liberation Mono" w:hAnsi="Liberation Mono"/>
                <w:color w:val="1E252B"/>
                <w:sz w:val="17"/>
              </w:rPr>
            </w:r>
          </w:p>
          <w:p>
            <w:pPr>
              <w:pStyle w:val="CodeBlock"/>
            </w:pPr>
            <w:r>
              <w:rPr>
                <w:rFonts w:ascii="Liberation Mono" w:hAnsi="Liberation Mono"/>
                <w:color w:val="1E252B"/>
                <w:sz w:val="17"/>
              </w:rPr>
              <w:t>fused = reciprocal_rank_fusion([bm25_hits, vector_hits, fts_hits])</w:t>
            </w:r>
          </w:p>
          <w:p>
            <w:pPr>
              <w:pStyle w:val="CodeBlock"/>
            </w:pPr>
            <w:r>
              <w:rPr>
                <w:rFonts w:ascii="Liberation Mono" w:hAnsi="Liberation Mono"/>
                <w:color w:val="1E252B"/>
                <w:sz w:val="17"/>
              </w:rPr>
              <w:t>reranked = cross_encoder.rerank(query, fused[:40])</w:t>
            </w:r>
          </w:p>
          <w:p>
            <w:pPr>
              <w:pStyle w:val="CodeBlock"/>
            </w:pPr>
            <w:r>
              <w:rPr>
                <w:rFonts w:ascii="Liberation Mono" w:hAnsi="Liberation Mono"/>
                <w:color w:val="1E252B"/>
                <w:sz w:val="17"/>
              </w:rPr>
              <w:t>final_hits = diversify_sources(reranked[:12])</w:t>
            </w:r>
          </w:p>
        </w:tc>
      </w:tr>
    </w:tbl>
    <w:p>
      <w:pPr>
        <w:pStyle w:val="Heading1"/>
      </w:pPr>
      <w:r>
        <w:t>7. Módulo 4 · Evidence Router y jerarquía de fuentes</w:t>
      </w:r>
    </w:p>
    <w:p>
      <w:r>
        <w:rPr>
          <w:rFonts w:ascii="Aptos" w:hAnsi="Aptos"/>
        </w:rPr>
        <w:t>No todas las consultas necesitan consultar las mismas fuentes. El Evidence Router decide qué conectores y colecciones deben priorizarse según intención y entidades.</w:t>
      </w:r>
    </w:p>
    <w:p>
      <w:pPr>
        <w:pStyle w:val="Heading2"/>
      </w:pPr>
      <w:r>
        <w:t>7.1 Ejemplos de rutas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45C8A"/>
            <w:vAlign w:val="center"/>
          </w:tcPr>
          <w:p>
            <w:r>
              <w:rPr>
                <w:rFonts w:ascii="Aptos" w:hAnsi="Aptos"/>
                <w:b/>
                <w:color w:val="FFFFFF"/>
                <w:sz w:val="17"/>
              </w:rPr>
              <w:t>Tipo de consulta</w:t>
            </w:r>
          </w:p>
        </w:tc>
        <w:tc>
          <w:tcPr>
            <w:tcW w:type="dxa" w:w="3360"/>
            <w:shd w:fill="245C8A"/>
            <w:vAlign w:val="center"/>
          </w:tcPr>
          <w:p>
            <w:r>
              <w:rPr>
                <w:rFonts w:ascii="Aptos" w:hAnsi="Aptos"/>
                <w:b/>
                <w:color w:val="FFFFFF"/>
                <w:sz w:val="17"/>
              </w:rPr>
              <w:t>Prioridad de fuentes</w:t>
            </w:r>
          </w:p>
        </w:tc>
        <w:tc>
          <w:tcPr>
            <w:tcW w:type="dxa" w:w="3360"/>
            <w:shd w:fill="245C8A"/>
            <w:vAlign w:val="center"/>
          </w:tcPr>
          <w:p>
            <w:r>
              <w:rPr>
                <w:rFonts w:ascii="Aptos" w:hAnsi="Aptos"/>
                <w:b/>
                <w:color w:val="FFFFFF"/>
                <w:sz w:val="17"/>
              </w:rPr>
              <w:t>Uso de PubMed Live</w:t>
            </w:r>
          </w:p>
        </w:tc>
      </w:tr>
      <w:tr>
        <w:trPr>
          <w:cantSplit/>
        </w:trPr>
        <w:tc>
          <w:tcPr>
            <w:tcW w:type="dxa" w:w="3360"/>
            <w:vAlign w:val="center"/>
          </w:tcPr>
          <w:p>
            <w:r>
              <w:rPr>
                <w:rFonts w:ascii="Aptos" w:hAnsi="Aptos"/>
                <w:sz w:val="16"/>
              </w:rPr>
              <w:t>Seguridad de fármacos</w:t>
            </w:r>
          </w:p>
        </w:tc>
        <w:tc>
          <w:tcPr>
            <w:tcW w:type="dxa" w:w="3360"/>
            <w:vAlign w:val="center"/>
          </w:tcPr>
          <w:p>
            <w:r>
              <w:rPr>
                <w:rFonts w:ascii="Aptos" w:hAnsi="Aptos"/>
                <w:sz w:val="16"/>
              </w:rPr>
              <w:t>CIMA/AEMPS → guía TB → bibliografía</w:t>
            </w:r>
          </w:p>
        </w:tc>
        <w:tc>
          <w:tcPr>
            <w:tcW w:type="dxa" w:w="3360"/>
            <w:vAlign w:val="center"/>
          </w:tcPr>
          <w:p>
            <w:r>
              <w:rPr>
                <w:rFonts w:ascii="Aptos" w:hAnsi="Aptos"/>
                <w:sz w:val="16"/>
              </w:rPr>
              <w:t>Complementario</w:t>
            </w:r>
          </w:p>
        </w:tc>
      </w:tr>
      <w:tr>
        <w:trPr>
          <w:cantSplit/>
        </w:trPr>
        <w:tc>
          <w:tcPr>
            <w:tcW w:type="dxa" w:w="3360"/>
            <w:vAlign w:val="center"/>
          </w:tcPr>
          <w:p>
            <w:r>
              <w:rPr>
                <w:rFonts w:ascii="Aptos" w:hAnsi="Aptos"/>
                <w:sz w:val="16"/>
              </w:rPr>
              <w:t>Contagio y aislamiento</w:t>
            </w:r>
          </w:p>
        </w:tc>
        <w:tc>
          <w:tcPr>
            <w:tcW w:type="dxa" w:w="3360"/>
            <w:vAlign w:val="center"/>
          </w:tcPr>
          <w:p>
            <w:r>
              <w:rPr>
                <w:rFonts w:ascii="Aptos" w:hAnsi="Aptos"/>
                <w:sz w:val="16"/>
              </w:rPr>
              <w:t>Guías institucionales → bibliografía</w:t>
            </w:r>
          </w:p>
        </w:tc>
        <w:tc>
          <w:tcPr>
            <w:tcW w:type="dxa" w:w="3360"/>
            <w:vAlign w:val="center"/>
          </w:tcPr>
          <w:p>
            <w:r>
              <w:rPr>
                <w:rFonts w:ascii="Aptos" w:hAnsi="Aptos"/>
                <w:sz w:val="16"/>
              </w:rPr>
              <w:t>Solo si falta cobertura</w:t>
            </w:r>
          </w:p>
        </w:tc>
      </w:tr>
      <w:tr>
        <w:trPr>
          <w:cantSplit/>
        </w:trPr>
        <w:tc>
          <w:tcPr>
            <w:tcW w:type="dxa" w:w="3360"/>
            <w:vAlign w:val="center"/>
          </w:tcPr>
          <w:p>
            <w:r>
              <w:rPr>
                <w:rFonts w:ascii="Aptos" w:hAnsi="Aptos"/>
                <w:sz w:val="16"/>
              </w:rPr>
              <w:t>Efectos adversos</w:t>
            </w:r>
          </w:p>
        </w:tc>
        <w:tc>
          <w:tcPr>
            <w:tcW w:type="dxa" w:w="3360"/>
            <w:vAlign w:val="center"/>
          </w:tcPr>
          <w:p>
            <w:r>
              <w:rPr>
                <w:rFonts w:ascii="Aptos" w:hAnsi="Aptos"/>
                <w:sz w:val="16"/>
              </w:rPr>
              <w:t>CIMA/AEMPS → guías → revisiones</w:t>
            </w:r>
          </w:p>
        </w:tc>
        <w:tc>
          <w:tcPr>
            <w:tcW w:type="dxa" w:w="3360"/>
            <w:vAlign w:val="center"/>
          </w:tcPr>
          <w:p>
            <w:r>
              <w:rPr>
                <w:rFonts w:ascii="Aptos" w:hAnsi="Aptos"/>
                <w:sz w:val="16"/>
              </w:rPr>
              <w:t>Complementario</w:t>
            </w:r>
          </w:p>
        </w:tc>
      </w:tr>
      <w:tr>
        <w:trPr>
          <w:cantSplit/>
        </w:trPr>
        <w:tc>
          <w:tcPr>
            <w:tcW w:type="dxa" w:w="3360"/>
            <w:vAlign w:val="center"/>
          </w:tcPr>
          <w:p>
            <w:r>
              <w:rPr>
                <w:rFonts w:ascii="Aptos" w:hAnsi="Aptos"/>
                <w:sz w:val="16"/>
              </w:rPr>
              <w:t>Pregunta científica</w:t>
            </w:r>
          </w:p>
        </w:tc>
        <w:tc>
          <w:tcPr>
            <w:tcW w:type="dxa" w:w="3360"/>
            <w:vAlign w:val="center"/>
          </w:tcPr>
          <w:p>
            <w:r>
              <w:rPr>
                <w:rFonts w:ascii="Aptos" w:hAnsi="Aptos"/>
                <w:sz w:val="16"/>
              </w:rPr>
              <w:t>MasterDB → Chroma/FTS5 → PubMed</w:t>
            </w:r>
          </w:p>
        </w:tc>
        <w:tc>
          <w:tcPr>
            <w:tcW w:type="dxa" w:w="3360"/>
            <w:vAlign w:val="center"/>
          </w:tcPr>
          <w:p>
            <w:r>
              <w:rPr>
                <w:rFonts w:ascii="Aptos" w:hAnsi="Aptos"/>
                <w:sz w:val="16"/>
              </w:rPr>
              <w:t>Sí, si hace falta actualidad</w:t>
            </w:r>
          </w:p>
        </w:tc>
      </w:tr>
      <w:tr>
        <w:trPr>
          <w:cantSplit/>
        </w:trPr>
        <w:tc>
          <w:tcPr>
            <w:tcW w:type="dxa" w:w="3360"/>
            <w:vAlign w:val="center"/>
          </w:tcPr>
          <w:p>
            <w:r>
              <w:rPr>
                <w:rFonts w:ascii="Aptos" w:hAnsi="Aptos"/>
                <w:sz w:val="16"/>
              </w:rPr>
              <w:t>Pregunta rutinaria de paciente</w:t>
            </w:r>
          </w:p>
        </w:tc>
        <w:tc>
          <w:tcPr>
            <w:tcW w:type="dxa" w:w="3360"/>
            <w:vAlign w:val="center"/>
          </w:tcPr>
          <w:p>
            <w:r>
              <w:rPr>
                <w:rFonts w:ascii="Aptos" w:hAnsi="Aptos"/>
                <w:sz w:val="16"/>
              </w:rPr>
              <w:t>Guías y respuestas validadas</w:t>
            </w:r>
          </w:p>
        </w:tc>
        <w:tc>
          <w:tcPr>
            <w:tcW w:type="dxa" w:w="3360"/>
            <w:vAlign w:val="center"/>
          </w:tcPr>
          <w:p>
            <w:r>
              <w:rPr>
                <w:rFonts w:ascii="Aptos" w:hAnsi="Aptos"/>
                <w:sz w:val="16"/>
              </w:rPr>
              <w:t>Normalmente no</w:t>
            </w:r>
          </w:p>
        </w:tc>
      </w:tr>
    </w:tbl>
    <w:p>
      <w:pPr>
        <w:pStyle w:val="Heading2"/>
      </w:pPr>
      <w:r>
        <w:t>7.2 Jerarquía orientativa</w:t>
      </w:r>
    </w:p>
    <w:p>
      <w:pPr>
        <w:pStyle w:val="ListBullet"/>
      </w:pPr>
      <w:r>
        <w:rPr>
          <w:rFonts w:ascii="Aptos" w:hAnsi="Aptos"/>
        </w:rPr>
        <w:t>Tier 1: fuentes regulatorias y organismos sanitarios oficiales aplicables (p. ej., AEMPS/CIMA, OMS, ECDC, CDC, Ministerio).</w:t>
      </w:r>
    </w:p>
    <w:p>
      <w:pPr>
        <w:pStyle w:val="ListBullet"/>
      </w:pPr>
      <w:r>
        <w:rPr>
          <w:rFonts w:ascii="Aptos" w:hAnsi="Aptos"/>
        </w:rPr>
        <w:t>Tier 2: guías nacionales y sociedades científicas.</w:t>
      </w:r>
    </w:p>
    <w:p>
      <w:pPr>
        <w:pStyle w:val="ListBullet"/>
      </w:pPr>
      <w:r>
        <w:rPr>
          <w:rFonts w:ascii="Aptos" w:hAnsi="Aptos"/>
        </w:rPr>
        <w:t>Tier 3: revisiones sistemáticas y metaanálisis.</w:t>
      </w:r>
    </w:p>
    <w:p>
      <w:pPr>
        <w:pStyle w:val="ListBullet"/>
      </w:pPr>
      <w:r>
        <w:rPr>
          <w:rFonts w:ascii="Aptos" w:hAnsi="Aptos"/>
        </w:rPr>
        <w:t>Tier 4: ensayos clínicos y estudios comparativos.</w:t>
      </w:r>
    </w:p>
    <w:p>
      <w:pPr>
        <w:pStyle w:val="ListBullet"/>
      </w:pPr>
      <w:r>
        <w:rPr>
          <w:rFonts w:ascii="Aptos" w:hAnsi="Aptos"/>
        </w:rPr>
        <w:t>Tier 5: estudios observacionales.</w:t>
      </w:r>
    </w:p>
    <w:p>
      <w:pPr>
        <w:pStyle w:val="ListBullet"/>
      </w:pPr>
      <w:r>
        <w:rPr>
          <w:rFonts w:ascii="Aptos" w:hAnsi="Aptos"/>
        </w:rPr>
        <w:t>Tier 6: series/casos y literatura de menor nivel para decisiones clínicas generales.</w:t>
      </w:r>
    </w:p>
    <w:p>
      <w:r>
        <w:rPr>
          <w:rFonts w:ascii="Aptos" w:hAnsi="Aptos"/>
        </w:rPr>
        <w:t>La jerarquía no debe sustituir la relevancia clínica. Una fuente de alto nivel que no responde a la pregunta concreta no debería desplazar automáticamente a una fuente específica pertinente.</w:t>
      </w:r>
    </w:p>
    <w:p>
      <w:pPr>
        <w:pStyle w:val="Heading1"/>
      </w:pPr>
      <w:r>
        <w:t>8. Módulo 5 · Evidence Pack</w:t>
      </w:r>
    </w:p>
    <w:p>
      <w:r>
        <w:rPr>
          <w:rFonts w:ascii="Aptos" w:hAnsi="Aptos"/>
        </w:rPr>
        <w:t>El Evidence Pack es el objeto estructurado que conecta retrieval y generación. Su función es impedir que el generador trabaje con una colección opaca de chunks y proporcionar metadatos suficientes para verificar cada afirmación.</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w:t>
            </w:r>
          </w:p>
          <w:p>
            <w:pPr>
              <w:pStyle w:val="CodeBlock"/>
            </w:pPr>
            <w:r>
              <w:rPr>
                <w:rFonts w:ascii="Liberation Mono" w:hAnsi="Liberation Mono"/>
                <w:color w:val="1E252B"/>
                <w:sz w:val="17"/>
              </w:rPr>
              <w:t xml:space="preserve">  "question": "¿Puedo tomar isoniazida si estoy embarazada?",</w:t>
            </w:r>
          </w:p>
          <w:p>
            <w:pPr>
              <w:pStyle w:val="CodeBlock"/>
            </w:pPr>
            <w:r>
              <w:rPr>
                <w:rFonts w:ascii="Liberation Mono" w:hAnsi="Liberation Mono"/>
                <w:color w:val="1E252B"/>
                <w:sz w:val="17"/>
              </w:rPr>
              <w:t xml:space="preserve">  "intent": "drug_safety",</w:t>
            </w:r>
          </w:p>
          <w:p>
            <w:pPr>
              <w:pStyle w:val="CodeBlock"/>
            </w:pPr>
            <w:r>
              <w:rPr>
                <w:rFonts w:ascii="Liberation Mono" w:hAnsi="Liberation Mono"/>
                <w:color w:val="1E252B"/>
                <w:sz w:val="17"/>
              </w:rPr>
              <w:t xml:space="preserve">  "entities": {</w:t>
            </w:r>
          </w:p>
          <w:p>
            <w:pPr>
              <w:pStyle w:val="CodeBlock"/>
            </w:pPr>
            <w:r>
              <w:rPr>
                <w:rFonts w:ascii="Liberation Mono" w:hAnsi="Liberation Mono"/>
                <w:color w:val="1E252B"/>
                <w:sz w:val="17"/>
              </w:rPr>
              <w:t xml:space="preserve">    "drug": ["isoniazid"],</w:t>
            </w:r>
          </w:p>
          <w:p>
            <w:pPr>
              <w:pStyle w:val="CodeBlock"/>
            </w:pPr>
            <w:r>
              <w:rPr>
                <w:rFonts w:ascii="Liberation Mono" w:hAnsi="Liberation Mono"/>
                <w:color w:val="1E252B"/>
                <w:sz w:val="17"/>
              </w:rPr>
              <w:t xml:space="preserve">    "population": "pregnancy"</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"evidence": [</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"source_id": "...",</w:t>
            </w:r>
          </w:p>
          <w:p>
            <w:pPr>
              <w:pStyle w:val="CodeBlock"/>
            </w:pPr>
            <w:r>
              <w:rPr>
                <w:rFonts w:ascii="Liberation Mono" w:hAnsi="Liberation Mono"/>
                <w:color w:val="1E252B"/>
                <w:sz w:val="17"/>
              </w:rPr>
              <w:t xml:space="preserve">      "source_type": "guideline",</w:t>
            </w:r>
          </w:p>
          <w:p>
            <w:pPr>
              <w:pStyle w:val="CodeBlock"/>
            </w:pPr>
            <w:r>
              <w:rPr>
                <w:rFonts w:ascii="Liberation Mono" w:hAnsi="Liberation Mono"/>
                <w:color w:val="1E252B"/>
                <w:sz w:val="17"/>
              </w:rPr>
              <w:t xml:space="preserve">      "authority": "...",</w:t>
            </w:r>
          </w:p>
          <w:p>
            <w:pPr>
              <w:pStyle w:val="CodeBlock"/>
            </w:pPr>
            <w:r>
              <w:rPr>
                <w:rFonts w:ascii="Liberation Mono" w:hAnsi="Liberation Mono"/>
                <w:color w:val="1E252B"/>
                <w:sz w:val="17"/>
              </w:rPr>
              <w:t xml:space="preserve">      "year": 2026,</w:t>
            </w:r>
          </w:p>
          <w:p>
            <w:pPr>
              <w:pStyle w:val="CodeBlock"/>
            </w:pPr>
            <w:r>
              <w:rPr>
                <w:rFonts w:ascii="Liberation Mono" w:hAnsi="Liberation Mono"/>
                <w:color w:val="1E252B"/>
                <w:sz w:val="17"/>
              </w:rPr>
              <w:t xml:space="preserve">      "text": "fragmento recuperado",</w:t>
            </w:r>
          </w:p>
          <w:p>
            <w:pPr>
              <w:pStyle w:val="CodeBlock"/>
            </w:pPr>
            <w:r>
              <w:rPr>
                <w:rFonts w:ascii="Liberation Mono" w:hAnsi="Liberation Mono"/>
                <w:color w:val="1E252B"/>
                <w:sz w:val="17"/>
              </w:rPr>
              <w:t xml:space="preserve">      "retrieval_score": 0.91,</w:t>
            </w:r>
          </w:p>
          <w:p>
            <w:pPr>
              <w:pStyle w:val="CodeBlock"/>
            </w:pPr>
            <w:r>
              <w:rPr>
                <w:rFonts w:ascii="Liberation Mono" w:hAnsi="Liberation Mono"/>
                <w:color w:val="1E252B"/>
                <w:sz w:val="17"/>
              </w:rPr>
              <w:t xml:space="preserve">      "reranker_score": 0.94,</w:t>
            </w:r>
          </w:p>
          <w:p>
            <w:pPr>
              <w:pStyle w:val="CodeBlock"/>
            </w:pPr>
            <w:r>
              <w:rPr>
                <w:rFonts w:ascii="Liberation Mono" w:hAnsi="Liberation Mono"/>
                <w:color w:val="1E252B"/>
                <w:sz w:val="17"/>
              </w:rPr>
              <w:t xml:space="preserve">      "doi": null,</w:t>
            </w:r>
          </w:p>
          <w:p>
            <w:pPr>
              <w:pStyle w:val="CodeBlock"/>
            </w:pPr>
            <w:r>
              <w:rPr>
                <w:rFonts w:ascii="Liberation Mono" w:hAnsi="Liberation Mono"/>
                <w:color w:val="1E252B"/>
                <w:sz w:val="17"/>
              </w:rPr>
              <w:t xml:space="preserve">      "pmid": null</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 xml:space="preserve">  "conflicts": [],</w:t>
            </w:r>
          </w:p>
          <w:p>
            <w:pPr>
              <w:pStyle w:val="CodeBlock"/>
            </w:pPr>
            <w:r>
              <w:rPr>
                <w:rFonts w:ascii="Liberation Mono" w:hAnsi="Liberation Mono"/>
                <w:color w:val="1E252B"/>
                <w:sz w:val="17"/>
              </w:rPr>
              <w:t xml:space="preserve">  "sufficiency": "pending"</w:t>
            </w:r>
          </w:p>
          <w:p>
            <w:pPr>
              <w:pStyle w:val="CodeBlock"/>
            </w:pPr>
            <w:r>
              <w:rPr>
                <w:rFonts w:ascii="Liberation Mono" w:hAnsi="Liberation Mono"/>
                <w:color w:val="1E252B"/>
                <w:sz w:val="17"/>
              </w:rPr>
              <w:t>}</w:t>
            </w:r>
          </w:p>
        </w:tc>
      </w:tr>
    </w:tbl>
    <w:p>
      <w:pPr>
        <w:pStyle w:val="Heading2"/>
      </w:pPr>
      <w:r>
        <w:t>8.1 Qué debe contener</w:t>
      </w:r>
    </w:p>
    <w:p>
      <w:pPr>
        <w:pStyle w:val="ListBullet"/>
      </w:pPr>
      <w:r>
        <w:rPr>
          <w:rFonts w:ascii="Aptos" w:hAnsi="Aptos"/>
        </w:rPr>
        <w:t>Pregunta original y normalizada.</w:t>
      </w:r>
    </w:p>
    <w:p>
      <w:pPr>
        <w:pStyle w:val="ListBullet"/>
      </w:pPr>
      <w:r>
        <w:rPr>
          <w:rFonts w:ascii="Aptos" w:hAnsi="Aptos"/>
        </w:rPr>
        <w:t>Intención y entidades clínicas.</w:t>
      </w:r>
    </w:p>
    <w:p>
      <w:pPr>
        <w:pStyle w:val="ListBullet"/>
      </w:pPr>
      <w:r>
        <w:rPr>
          <w:rFonts w:ascii="Aptos" w:hAnsi="Aptos"/>
        </w:rPr>
        <w:t>Identificador de cada fuente y versión/fecha cuando proceda.</w:t>
      </w:r>
    </w:p>
    <w:p>
      <w:pPr>
        <w:pStyle w:val="ListBullet"/>
      </w:pPr>
      <w:r>
        <w:rPr>
          <w:rFonts w:ascii="Aptos" w:hAnsi="Aptos"/>
        </w:rPr>
        <w:t>Chunk exacto que respalda el contenido.</w:t>
      </w:r>
    </w:p>
    <w:p>
      <w:pPr>
        <w:pStyle w:val="ListBullet"/>
      </w:pPr>
      <w:r>
        <w:rPr>
          <w:rFonts w:ascii="Aptos" w:hAnsi="Aptos"/>
        </w:rPr>
        <w:t>Scores de retrieval y reranking.</w:t>
      </w:r>
    </w:p>
    <w:p>
      <w:pPr>
        <w:pStyle w:val="ListBullet"/>
      </w:pPr>
      <w:r>
        <w:rPr>
          <w:rFonts w:ascii="Aptos" w:hAnsi="Aptos"/>
        </w:rPr>
        <w:t>DOI, PMID u otro identificador cuando exista.</w:t>
      </w:r>
    </w:p>
    <w:p>
      <w:pPr>
        <w:pStyle w:val="ListBullet"/>
      </w:pPr>
      <w:r>
        <w:rPr>
          <w:rFonts w:ascii="Aptos" w:hAnsi="Aptos"/>
        </w:rPr>
        <w:t>Nivel/autoridad de la fuente.</w:t>
      </w:r>
    </w:p>
    <w:p>
      <w:pPr>
        <w:pStyle w:val="ListBullet"/>
      </w:pPr>
      <w:r>
        <w:rPr>
          <w:rFonts w:ascii="Aptos" w:hAnsi="Aptos"/>
        </w:rPr>
        <w:t>Conflictos detectados.</w:t>
      </w:r>
    </w:p>
    <w:p>
      <w:pPr>
        <w:pStyle w:val="ListBullet"/>
      </w:pPr>
      <w:r>
        <w:rPr>
          <w:rFonts w:ascii="Aptos" w:hAnsi="Aptos"/>
        </w:rPr>
        <w:t>Resultado de suficiencia de evidencia.</w:t>
      </w:r>
    </w:p>
    <w:p>
      <w:pPr>
        <w:pStyle w:val="Heading1"/>
      </w:pPr>
      <w:r>
        <w:t>9. Módulo 6 · Evidence Sufficiency y abstención</w:t>
      </w:r>
    </w:p>
    <w:p>
      <w:r>
        <w:rPr>
          <w:rFonts w:ascii="Aptos" w:hAnsi="Aptos"/>
        </w:rPr>
        <w:t>TBC-AI debe tener permiso explícito para no responder. La abstención es una salida normal del sistema, no un error.</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def evidence_sufficiency(pack):</w:t>
            </w:r>
          </w:p>
          <w:p>
            <w:pPr>
              <w:pStyle w:val="CodeBlock"/>
            </w:pPr>
            <w:r>
              <w:rPr>
                <w:rFonts w:ascii="Liberation Mono" w:hAnsi="Liberation Mono"/>
                <w:color w:val="1E252B"/>
                <w:sz w:val="17"/>
              </w:rPr>
              <w:t xml:space="preserve">    if pack.high_risk and not pack.has_authoritative_source:</w:t>
            </w:r>
          </w:p>
          <w:p>
            <w:pPr>
              <w:pStyle w:val="CodeBlock"/>
            </w:pPr>
            <w:r>
              <w:rPr>
                <w:rFonts w:ascii="Liberation Mono" w:hAnsi="Liberation Mono"/>
                <w:color w:val="1E252B"/>
                <w:sz w:val="17"/>
              </w:rPr>
              <w:t xml:space="preserve">        return "ABSTAIN_AND_ESCALATE"</w:t>
            </w:r>
          </w:p>
          <w:p>
            <w:pPr>
              <w:pStyle w:val="CodeBlock"/>
            </w:pPr>
            <w:r>
              <w:rPr>
                <w:rFonts w:ascii="Liberation Mono" w:hAnsi="Liberation Mono"/>
                <w:color w:val="1E252B"/>
                <w:sz w:val="17"/>
              </w:rPr>
              <w:t xml:space="preserve">    if pack.top_score &lt; MIN_RELEVANCE:</w:t>
            </w:r>
          </w:p>
          <w:p>
            <w:pPr>
              <w:pStyle w:val="CodeBlock"/>
            </w:pPr>
            <w:r>
              <w:rPr>
                <w:rFonts w:ascii="Liberation Mono" w:hAnsi="Liberation Mono"/>
                <w:color w:val="1E252B"/>
                <w:sz w:val="17"/>
              </w:rPr>
              <w:t xml:space="preserve">        return "INSUFFICIENT"</w:t>
            </w:r>
          </w:p>
          <w:p>
            <w:pPr>
              <w:pStyle w:val="CodeBlock"/>
            </w:pPr>
            <w:r>
              <w:rPr>
                <w:rFonts w:ascii="Liberation Mono" w:hAnsi="Liberation Mono"/>
                <w:color w:val="1E252B"/>
                <w:sz w:val="17"/>
              </w:rPr>
              <w:t xml:space="preserve">    if pack.conflict_severity == "HIGH":</w:t>
            </w:r>
          </w:p>
          <w:p>
            <w:pPr>
              <w:pStyle w:val="CodeBlock"/>
            </w:pPr>
            <w:r>
              <w:rPr>
                <w:rFonts w:ascii="Liberation Mono" w:hAnsi="Liberation Mono"/>
                <w:color w:val="1E252B"/>
                <w:sz w:val="17"/>
              </w:rPr>
              <w:t xml:space="preserve">        return "REVIEW_OR_ABSTAIN"</w:t>
            </w:r>
          </w:p>
          <w:p>
            <w:pPr>
              <w:pStyle w:val="CodeBlock"/>
            </w:pPr>
            <w:r>
              <w:rPr>
                <w:rFonts w:ascii="Liberation Mono" w:hAnsi="Liberation Mono"/>
                <w:color w:val="1E252B"/>
                <w:sz w:val="17"/>
              </w:rPr>
              <w:t xml:space="preserve">    if pack.supporting_sources &lt; MIN_SOURCES_FOR_THIS_INTENT:</w:t>
            </w:r>
          </w:p>
          <w:p>
            <w:pPr>
              <w:pStyle w:val="CodeBlock"/>
            </w:pPr>
            <w:r>
              <w:rPr>
                <w:rFonts w:ascii="Liberation Mono" w:hAnsi="Liberation Mono"/>
                <w:color w:val="1E252B"/>
                <w:sz w:val="17"/>
              </w:rPr>
              <w:t xml:space="preserve">        return "INSUFFICIENT"</w:t>
            </w:r>
          </w:p>
          <w:p>
            <w:pPr>
              <w:pStyle w:val="CodeBlock"/>
            </w:pPr>
            <w:r>
              <w:rPr>
                <w:rFonts w:ascii="Liberation Mono" w:hAnsi="Liberation Mono"/>
                <w:color w:val="1E252B"/>
                <w:sz w:val="17"/>
              </w:rPr>
              <w:t xml:space="preserve">    return "SUFFICIENT"</w:t>
            </w:r>
          </w:p>
        </w:tc>
      </w:tr>
    </w:tbl>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A75B17"/>
            <w:tcMar>
              <w:top w:w="40" w:type="dxa"/>
              <w:start w:w="0" w:type="dxa"/>
              <w:bottom w:w="40" w:type="dxa"/>
              <w:end w:w="0" w:type="dxa"/>
            </w:tcMar>
            <w:vAlign w:val="center"/>
          </w:tcPr>
          <w:p/>
        </w:tc>
        <w:tc>
          <w:tcPr>
            <w:tcW w:type="dxa" w:w="5040"/>
            <w:shd w:fill="FFF4E8"/>
            <w:tcMar>
              <w:top w:w="120" w:type="dxa"/>
              <w:start w:w="150" w:type="dxa"/>
              <w:bottom w:w="120" w:type="dxa"/>
              <w:end w:w="150" w:type="dxa"/>
            </w:tcMar>
            <w:vAlign w:val="center"/>
          </w:tcPr>
          <w:p>
            <w:r>
              <w:rPr>
                <w:rFonts w:ascii="Aptos" w:hAnsi="Aptos"/>
                <w:b/>
                <w:color w:val="A75B17"/>
                <w:sz w:val="20"/>
              </w:rPr>
              <w:t>No fijar umbrales arbitrariamente</w:t>
              <w:br/>
            </w:r>
            <w:r>
              <w:rPr>
                <w:rFonts w:ascii="Aptos" w:hAnsi="Aptos"/>
                <w:color w:val="1E252B"/>
                <w:sz w:val="18"/>
              </w:rPr>
              <w:t>Los valores de MIN_RELEVANCE, número mínimo de fuentes y reglas por intención deberían calibrarse con un conjunto de preguntas etiquetadas, no elegirse solo por intuición.</w:t>
            </w:r>
          </w:p>
        </w:tc>
      </w:tr>
    </w:tbl>
    <w:p>
      <w:pPr>
        <w:pStyle w:val="Heading1"/>
      </w:pPr>
      <w:r>
        <w:t>10. Módulo 7 · Generación grounded</w:t>
      </w:r>
    </w:p>
    <w:p>
      <w:r>
        <w:rPr>
          <w:rFonts w:ascii="Aptos" w:hAnsi="Aptos"/>
        </w:rPr>
        <w:t>Llama 3.1 8B puede mantenerse como generador principal, pero el prompt debería limitarlo a la información contenida en el Evidence Pack para afirmaciones clínicas. Si el paquete no contiene soporte suficiente, el modelo debe declararlo en vez de completar con conocimiento paramétrico no controlado.</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REGLAS DEL GENERADOR</w:t>
            </w:r>
          </w:p>
          <w:p>
            <w:pPr>
              <w:pStyle w:val="CodeBlock"/>
            </w:pPr>
            <w:r>
              <w:rPr>
                <w:rFonts w:ascii="Liberation Mono" w:hAnsi="Liberation Mono"/>
                <w:color w:val="1E252B"/>
                <w:sz w:val="17"/>
              </w:rPr>
              <w:t>1. Responde utilizando únicamente la evidencia suministrada para afirmaciones clínicas.</w:t>
            </w:r>
          </w:p>
          <w:p>
            <w:pPr>
              <w:pStyle w:val="CodeBlock"/>
            </w:pPr>
            <w:r>
              <w:rPr>
                <w:rFonts w:ascii="Liberation Mono" w:hAnsi="Liberation Mono"/>
                <w:color w:val="1E252B"/>
                <w:sz w:val="17"/>
              </w:rPr>
              <w:t>2. No inventes dosis, duración, contraindicaciones, DOI ni recomendaciones.</w:t>
            </w:r>
          </w:p>
          <w:p>
            <w:pPr>
              <w:pStyle w:val="CodeBlock"/>
            </w:pPr>
            <w:r>
              <w:rPr>
                <w:rFonts w:ascii="Liberation Mono" w:hAnsi="Liberation Mono"/>
                <w:color w:val="1E252B"/>
                <w:sz w:val="17"/>
              </w:rPr>
              <w:t>3. Si dos fuentes discrepan, no elijas una sin explicar la discrepancia.</w:t>
            </w:r>
          </w:p>
          <w:p>
            <w:pPr>
              <w:pStyle w:val="CodeBlock"/>
            </w:pPr>
            <w:r>
              <w:rPr>
                <w:rFonts w:ascii="Liberation Mono" w:hAnsi="Liberation Mono"/>
                <w:color w:val="1E252B"/>
                <w:sz w:val="17"/>
              </w:rPr>
              <w:t>4. Si falta información necesaria, genera una respuesta de insuficiencia/derivación.</w:t>
            </w:r>
          </w:p>
          <w:p>
            <w:pPr>
              <w:pStyle w:val="CodeBlock"/>
            </w:pPr>
            <w:r>
              <w:rPr>
                <w:rFonts w:ascii="Liberation Mono" w:hAnsi="Liberation Mono"/>
                <w:color w:val="1E252B"/>
                <w:sz w:val="17"/>
              </w:rPr>
              <w:t>5. Conserva los source_id asociados a cada afirmación clínica.</w:t>
            </w:r>
          </w:p>
        </w:tc>
      </w:tr>
    </w:tbl>
    <w:p>
      <w:pPr>
        <w:pStyle w:val="Heading1"/>
      </w:pPr>
      <w:r>
        <w:t>11. Módulo 8 · Verificación por afirmaciones</w:t>
      </w:r>
    </w:p>
    <w:p>
      <w:r>
        <w:rPr>
          <w:rFonts w:ascii="Aptos" w:hAnsi="Aptos"/>
        </w:rPr>
        <w:t>En lugar de verificar la respuesta como un bloque, conviene dividirla en afirmaciones clínicas y comprobar cada una contra el Evidence Pack.</w:t>
      </w:r>
    </w:p>
    <w:p>
      <w:pPr>
        <w:pStyle w:val="Heading2"/>
      </w:pPr>
      <w:r>
        <w:t>11.1 Ejemplo</w:t>
      </w:r>
    </w:p>
    <w:p>
      <w:r>
        <w:rPr>
          <w:rFonts w:ascii="Aptos" w:hAnsi="Aptos"/>
        </w:rPr>
        <w:t>Respuesta candidata: «La rifampicina puede producir coloración naranja de fluidos corporales. Si tienes náuseas debes suspenderla.»</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CLAIM 1</w:t>
            </w:r>
          </w:p>
          <w:p>
            <w:pPr>
              <w:pStyle w:val="CodeBlock"/>
            </w:pPr>
            <w:r>
              <w:rPr>
                <w:rFonts w:ascii="Liberation Mono" w:hAnsi="Liberation Mono"/>
                <w:color w:val="1E252B"/>
                <w:sz w:val="17"/>
              </w:rPr>
              <w:t>"La rifampicina puede producir coloración naranja de fluidos corporales"</w:t>
            </w:r>
          </w:p>
          <w:p>
            <w:pPr>
              <w:pStyle w:val="CodeBlock"/>
            </w:pPr>
            <w:r>
              <w:rPr>
                <w:rFonts w:ascii="Liberation Mono" w:hAnsi="Liberation Mono"/>
                <w:color w:val="1E252B"/>
                <w:sz w:val="17"/>
              </w:rPr>
              <w:t>→ SUPPORTED</w:t>
            </w:r>
          </w:p>
          <w:p>
            <w:pPr>
              <w:pStyle w:val="CodeBlock"/>
            </w:pPr>
            <w:r>
              <w:rPr>
                <w:rFonts w:ascii="Liberation Mono" w:hAnsi="Liberation Mono"/>
                <w:color w:val="1E252B"/>
                <w:sz w:val="17"/>
              </w:rPr>
            </w:r>
          </w:p>
          <w:p>
            <w:pPr>
              <w:pStyle w:val="CodeBlock"/>
            </w:pPr>
            <w:r>
              <w:rPr>
                <w:rFonts w:ascii="Liberation Mono" w:hAnsi="Liberation Mono"/>
                <w:color w:val="1E252B"/>
                <w:sz w:val="17"/>
              </w:rPr>
              <w:t>CLAIM 2</w:t>
            </w:r>
          </w:p>
          <w:p>
            <w:pPr>
              <w:pStyle w:val="CodeBlock"/>
            </w:pPr>
            <w:r>
              <w:rPr>
                <w:rFonts w:ascii="Liberation Mono" w:hAnsi="Liberation Mono"/>
                <w:color w:val="1E252B"/>
                <w:sz w:val="17"/>
              </w:rPr>
              <w:t>"Si tienes náuseas debes suspenderla"</w:t>
            </w:r>
          </w:p>
          <w:p>
            <w:pPr>
              <w:pStyle w:val="CodeBlock"/>
            </w:pPr>
            <w:r>
              <w:rPr>
                <w:rFonts w:ascii="Liberation Mono" w:hAnsi="Liberation Mono"/>
                <w:color w:val="1E252B"/>
                <w:sz w:val="17"/>
              </w:rPr>
              <w:t>→ UNSUPPORTED / requiere revisión</w:t>
            </w:r>
          </w:p>
        </w:tc>
      </w:tr>
    </w:tbl>
    <w:p>
      <w:pPr>
        <w:pStyle w:val="Heading2"/>
      </w:pPr>
      <w:r>
        <w:t>11.2 Estados útiles</w:t>
      </w:r>
    </w:p>
    <w:p>
      <w:pPr>
        <w:pStyle w:val="ListBullet"/>
      </w:pPr>
      <w:r>
        <w:rPr>
          <w:rFonts w:ascii="Aptos" w:hAnsi="Aptos"/>
        </w:rPr>
        <w:t>SUPPORTED: la evidencia respalda directamente la afirmación.</w:t>
      </w:r>
    </w:p>
    <w:p>
      <w:pPr>
        <w:pStyle w:val="ListBullet"/>
      </w:pPr>
      <w:r>
        <w:rPr>
          <w:rFonts w:ascii="Aptos" w:hAnsi="Aptos"/>
        </w:rPr>
        <w:t>PARTIAL: existe soporte parcial o faltan condiciones clínicas.</w:t>
      </w:r>
    </w:p>
    <w:p>
      <w:pPr>
        <w:pStyle w:val="ListBullet"/>
      </w:pPr>
      <w:r>
        <w:rPr>
          <w:rFonts w:ascii="Aptos" w:hAnsi="Aptos"/>
        </w:rPr>
        <w:t>UNSUPPORTED: el Evidence Pack no contiene respaldo suficiente.</w:t>
      </w:r>
    </w:p>
    <w:p>
      <w:pPr>
        <w:pStyle w:val="ListBullet"/>
      </w:pPr>
      <w:r>
        <w:rPr>
          <w:rFonts w:ascii="Aptos" w:hAnsi="Aptos"/>
        </w:rPr>
        <w:t>CONTRADICTED: una fuente prioritaria contradice la afirmación.</w:t>
      </w:r>
    </w:p>
    <w:p>
      <w:r>
        <w:rPr>
          <w:rFonts w:ascii="Aptos" w:hAnsi="Aptos"/>
        </w:rPr>
        <w:t>Una afirmación clínica marcada como UNSUPPORTED o CONTRADICTED no debería llegar al paciente sin ser eliminada, reformulada o enviada a una ruta de revisión/abstención.</w:t>
      </w:r>
    </w:p>
    <w:p>
      <w:pPr>
        <w:pStyle w:val="Heading1"/>
      </w:pPr>
      <w:r>
        <w:t>12. Módulo 9 · Uso selectivo de Mistral/Llamafile</w:t>
      </w:r>
    </w:p>
    <w:p>
      <w:r>
        <w:rPr>
          <w:rFonts w:ascii="Aptos" w:hAnsi="Aptos"/>
        </w:rPr>
        <w:t>Mantendría Mistral como segundo modelo, pero no es necesario generar siempre una segunda respuesta completa. Puede funcionar como crítico independiente en situaciones de mayor riesgo.</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if high_risk_question:</w:t>
            </w:r>
          </w:p>
          <w:p>
            <w:pPr>
              <w:pStyle w:val="CodeBlock"/>
            </w:pPr>
            <w:r>
              <w:rPr>
                <w:rFonts w:ascii="Liberation Mono" w:hAnsi="Liberation Mono"/>
                <w:color w:val="1E252B"/>
                <w:sz w:val="17"/>
              </w:rPr>
              <w:t xml:space="preserve">    run_mistral_critic()</w:t>
            </w:r>
          </w:p>
          <w:p>
            <w:pPr>
              <w:pStyle w:val="CodeBlock"/>
            </w:pPr>
            <w:r>
              <w:rPr>
                <w:rFonts w:ascii="Liberation Mono" w:hAnsi="Liberation Mono"/>
                <w:color w:val="1E252B"/>
                <w:sz w:val="17"/>
              </w:rPr>
              <w:t>elif evidence_conflict:</w:t>
            </w:r>
          </w:p>
          <w:p>
            <w:pPr>
              <w:pStyle w:val="CodeBlock"/>
            </w:pPr>
            <w:r>
              <w:rPr>
                <w:rFonts w:ascii="Liberation Mono" w:hAnsi="Liberation Mono"/>
                <w:color w:val="1E252B"/>
                <w:sz w:val="17"/>
              </w:rPr>
              <w:t xml:space="preserve">    run_mistral_critic()</w:t>
            </w:r>
          </w:p>
          <w:p>
            <w:pPr>
              <w:pStyle w:val="CodeBlock"/>
            </w:pPr>
            <w:r>
              <w:rPr>
                <w:rFonts w:ascii="Liberation Mono" w:hAnsi="Liberation Mono"/>
                <w:color w:val="1E252B"/>
                <w:sz w:val="17"/>
              </w:rPr>
              <w:t>elif confidence_band in ["LOW", "MODERATE"]:</w:t>
            </w:r>
          </w:p>
          <w:p>
            <w:pPr>
              <w:pStyle w:val="CodeBlock"/>
            </w:pPr>
            <w:r>
              <w:rPr>
                <w:rFonts w:ascii="Liberation Mono" w:hAnsi="Liberation Mono"/>
                <w:color w:val="1E252B"/>
                <w:sz w:val="17"/>
              </w:rPr>
              <w:t xml:space="preserve">    run_mistral_critic()</w:t>
            </w:r>
          </w:p>
          <w:p>
            <w:pPr>
              <w:pStyle w:val="CodeBlock"/>
            </w:pPr>
            <w:r>
              <w:rPr>
                <w:rFonts w:ascii="Liberation Mono" w:hAnsi="Liberation Mono"/>
                <w:color w:val="1E252B"/>
                <w:sz w:val="17"/>
              </w:rPr>
              <w:t>elif claim_verification_failed:</w:t>
            </w:r>
          </w:p>
          <w:p>
            <w:pPr>
              <w:pStyle w:val="CodeBlock"/>
            </w:pPr>
            <w:r>
              <w:rPr>
                <w:rFonts w:ascii="Liberation Mono" w:hAnsi="Liberation Mono"/>
                <w:color w:val="1E252B"/>
                <w:sz w:val="17"/>
              </w:rPr>
              <w:t xml:space="preserve">    run_mistral_critic()</w:t>
            </w:r>
          </w:p>
          <w:p>
            <w:pPr>
              <w:pStyle w:val="CodeBlock"/>
            </w:pPr>
            <w:r>
              <w:rPr>
                <w:rFonts w:ascii="Liberation Mono" w:hAnsi="Liberation Mono"/>
                <w:color w:val="1E252B"/>
                <w:sz w:val="17"/>
              </w:rPr>
              <w:t>else:</w:t>
            </w:r>
          </w:p>
          <w:p>
            <w:pPr>
              <w:pStyle w:val="CodeBlock"/>
            </w:pPr>
            <w:r>
              <w:rPr>
                <w:rFonts w:ascii="Liberation Mono" w:hAnsi="Liberation Mono"/>
                <w:color w:val="1E252B"/>
                <w:sz w:val="17"/>
              </w:rPr>
              <w:t xml:space="preserve">    skip_second_model()</w:t>
            </w:r>
          </w:p>
        </w:tc>
      </w:tr>
    </w:tbl>
    <w:p>
      <w:r>
        <w:rPr>
          <w:rFonts w:ascii="Aptos" w:hAnsi="Aptos"/>
        </w:rPr>
        <w:t>El crítico puede revisar contradicciones, recomendaciones clínicas, dosis, efectos adversos y afirmaciones sin fuente. El resultado se procesa después con reglas deterministas; Llama no debería ser el único juez de la discrepancia.</w:t>
      </w:r>
    </w:p>
    <w:p>
      <w:pPr>
        <w:pStyle w:val="Heading1"/>
      </w:pPr>
      <w:r>
        <w:t>13. Módulo 10 · Confidence Engine</w:t>
      </w:r>
    </w:p>
    <w:p>
      <w:r>
        <w:rPr>
          <w:rFonts w:ascii="Aptos" w:hAnsi="Aptos"/>
        </w:rPr>
        <w:t>Evitaría mostrar al paciente porcentajes como “91 % de confianza” hasta disponer de una calibración estadística. Internamente sí pueden conservarse scores separados.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6E5C"/>
            <w:vAlign w:val="center"/>
          </w:tcPr>
          <w:p>
            <w:r>
              <w:rPr>
                <w:rFonts w:ascii="Aptos" w:hAnsi="Aptos"/>
                <w:b/>
                <w:color w:val="FFFFFF"/>
                <w:sz w:val="17"/>
              </w:rPr>
              <w:t>Componente</w:t>
            </w:r>
          </w:p>
        </w:tc>
        <w:tc>
          <w:tcPr>
            <w:tcW w:type="dxa" w:w="3360"/>
            <w:shd w:fill="1F6E5C"/>
            <w:vAlign w:val="center"/>
          </w:tcPr>
          <w:p>
            <w:r>
              <w:rPr>
                <w:rFonts w:ascii="Aptos" w:hAnsi="Aptos"/>
                <w:b/>
                <w:color w:val="FFFFFF"/>
                <w:sz w:val="17"/>
              </w:rPr>
              <w:t>Qué mide</w:t>
            </w:r>
          </w:p>
        </w:tc>
        <w:tc>
          <w:tcPr>
            <w:tcW w:type="dxa" w:w="3360"/>
            <w:shd w:fill="1F6E5C"/>
            <w:vAlign w:val="center"/>
          </w:tcPr>
          <w:p>
            <w:r>
              <w:rPr>
                <w:rFonts w:ascii="Aptos" w:hAnsi="Aptos"/>
                <w:b/>
                <w:color w:val="FFFFFF"/>
                <w:sz w:val="17"/>
              </w:rPr>
              <w:t>Ejemplo interno</w:t>
            </w:r>
          </w:p>
        </w:tc>
      </w:tr>
      <w:tr>
        <w:trPr>
          <w:cantSplit/>
        </w:trPr>
        <w:tc>
          <w:tcPr>
            <w:tcW w:type="dxa" w:w="3360"/>
            <w:vAlign w:val="center"/>
          </w:tcPr>
          <w:p>
            <w:r>
              <w:rPr>
                <w:rFonts w:ascii="Aptos" w:hAnsi="Aptos"/>
                <w:sz w:val="16"/>
              </w:rPr>
              <w:t>Retrieval</w:t>
            </w:r>
          </w:p>
        </w:tc>
        <w:tc>
          <w:tcPr>
            <w:tcW w:type="dxa" w:w="3360"/>
            <w:vAlign w:val="center"/>
          </w:tcPr>
          <w:p>
            <w:r>
              <w:rPr>
                <w:rFonts w:ascii="Aptos" w:hAnsi="Aptos"/>
                <w:sz w:val="16"/>
              </w:rPr>
              <w:t>Relevancia de documentos recuperados</w:t>
            </w:r>
          </w:p>
        </w:tc>
        <w:tc>
          <w:tcPr>
            <w:tcW w:type="dxa" w:w="3360"/>
            <w:vAlign w:val="center"/>
          </w:tcPr>
          <w:p>
            <w:r>
              <w:rPr>
                <w:rFonts w:ascii="Aptos" w:hAnsi="Aptos"/>
                <w:sz w:val="16"/>
              </w:rPr>
              <w:t>0.93</w:t>
            </w:r>
          </w:p>
        </w:tc>
      </w:tr>
      <w:tr>
        <w:trPr>
          <w:cantSplit/>
        </w:trPr>
        <w:tc>
          <w:tcPr>
            <w:tcW w:type="dxa" w:w="3360"/>
            <w:vAlign w:val="center"/>
          </w:tcPr>
          <w:p>
            <w:r>
              <w:rPr>
                <w:rFonts w:ascii="Aptos" w:hAnsi="Aptos"/>
                <w:sz w:val="16"/>
              </w:rPr>
              <w:t>Source quality</w:t>
            </w:r>
          </w:p>
        </w:tc>
        <w:tc>
          <w:tcPr>
            <w:tcW w:type="dxa" w:w="3360"/>
            <w:vAlign w:val="center"/>
          </w:tcPr>
          <w:p>
            <w:r>
              <w:rPr>
                <w:rFonts w:ascii="Aptos" w:hAnsi="Aptos"/>
                <w:sz w:val="16"/>
              </w:rPr>
              <w:t>Autoridad y adecuación de fuentes</w:t>
            </w:r>
          </w:p>
        </w:tc>
        <w:tc>
          <w:tcPr>
            <w:tcW w:type="dxa" w:w="3360"/>
            <w:vAlign w:val="center"/>
          </w:tcPr>
          <w:p>
            <w:r>
              <w:rPr>
                <w:rFonts w:ascii="Aptos" w:hAnsi="Aptos"/>
                <w:sz w:val="16"/>
              </w:rPr>
              <w:t>0.90</w:t>
            </w:r>
          </w:p>
        </w:tc>
      </w:tr>
      <w:tr>
        <w:trPr>
          <w:cantSplit/>
        </w:trPr>
        <w:tc>
          <w:tcPr>
            <w:tcW w:type="dxa" w:w="3360"/>
            <w:vAlign w:val="center"/>
          </w:tcPr>
          <w:p>
            <w:r>
              <w:rPr>
                <w:rFonts w:ascii="Aptos" w:hAnsi="Aptos"/>
                <w:sz w:val="16"/>
              </w:rPr>
              <w:t>Claim support</w:t>
            </w:r>
          </w:p>
        </w:tc>
        <w:tc>
          <w:tcPr>
            <w:tcW w:type="dxa" w:w="3360"/>
            <w:vAlign w:val="center"/>
          </w:tcPr>
          <w:p>
            <w:r>
              <w:rPr>
                <w:rFonts w:ascii="Aptos" w:hAnsi="Aptos"/>
                <w:sz w:val="16"/>
              </w:rPr>
              <w:t>Proporción de claims respaldados</w:t>
            </w:r>
          </w:p>
        </w:tc>
        <w:tc>
          <w:tcPr>
            <w:tcW w:type="dxa" w:w="3360"/>
            <w:vAlign w:val="center"/>
          </w:tcPr>
          <w:p>
            <w:r>
              <w:rPr>
                <w:rFonts w:ascii="Aptos" w:hAnsi="Aptos"/>
                <w:sz w:val="16"/>
              </w:rPr>
              <w:t>0.96</w:t>
            </w:r>
          </w:p>
        </w:tc>
      </w:tr>
      <w:tr>
        <w:trPr>
          <w:cantSplit/>
        </w:trPr>
        <w:tc>
          <w:tcPr>
            <w:tcW w:type="dxa" w:w="3360"/>
            <w:vAlign w:val="center"/>
          </w:tcPr>
          <w:p>
            <w:r>
              <w:rPr>
                <w:rFonts w:ascii="Aptos" w:hAnsi="Aptos"/>
                <w:sz w:val="16"/>
              </w:rPr>
              <w:t>Agreement</w:t>
            </w:r>
          </w:p>
        </w:tc>
        <w:tc>
          <w:tcPr>
            <w:tcW w:type="dxa" w:w="3360"/>
            <w:vAlign w:val="center"/>
          </w:tcPr>
          <w:p>
            <w:r>
              <w:rPr>
                <w:rFonts w:ascii="Aptos" w:hAnsi="Aptos"/>
                <w:sz w:val="16"/>
              </w:rPr>
              <w:t>Ausencia de conflicto entre evidencias/modelos</w:t>
            </w:r>
          </w:p>
        </w:tc>
        <w:tc>
          <w:tcPr>
            <w:tcW w:type="dxa" w:w="3360"/>
            <w:vAlign w:val="center"/>
          </w:tcPr>
          <w:p>
            <w:r>
              <w:rPr>
                <w:rFonts w:ascii="Aptos" w:hAnsi="Aptos"/>
                <w:sz w:val="16"/>
              </w:rPr>
              <w:t>0.88</w:t>
            </w:r>
          </w:p>
        </w:tc>
      </w:tr>
      <w:tr>
        <w:trPr>
          <w:cantSplit/>
        </w:trPr>
        <w:tc>
          <w:tcPr>
            <w:tcW w:type="dxa" w:w="3360"/>
            <w:vAlign w:val="center"/>
          </w:tcPr>
          <w:p>
            <w:r>
              <w:rPr>
                <w:rFonts w:ascii="Aptos" w:hAnsi="Aptos"/>
                <w:sz w:val="16"/>
              </w:rPr>
              <w:t>Freshness</w:t>
            </w:r>
          </w:p>
        </w:tc>
        <w:tc>
          <w:tcPr>
            <w:tcW w:type="dxa" w:w="3360"/>
            <w:vAlign w:val="center"/>
          </w:tcPr>
          <w:p>
            <w:r>
              <w:rPr>
                <w:rFonts w:ascii="Aptos" w:hAnsi="Aptos"/>
                <w:sz w:val="16"/>
              </w:rPr>
              <w:t>Vigencia temporal cuando importa</w:t>
            </w:r>
          </w:p>
        </w:tc>
        <w:tc>
          <w:tcPr>
            <w:tcW w:type="dxa" w:w="3360"/>
            <w:vAlign w:val="center"/>
          </w:tcPr>
          <w:p>
            <w:r>
              <w:rPr>
                <w:rFonts w:ascii="Aptos" w:hAnsi="Aptos"/>
                <w:sz w:val="16"/>
              </w:rPr>
              <w:t>0.85</w:t>
            </w:r>
          </w:p>
        </w:tc>
      </w:tr>
    </w:tbl>
    <w:p>
      <w:r>
        <w:rPr>
          <w:rFonts w:ascii="Aptos" w:hAnsi="Aptos"/>
        </w:rPr>
        <w:t>Externamente utilizaría categorías más interpretables: evidencia suficiente, evidencia limitada, evidencia conflictiva o requiere valoración profesional. Estas categorías también deben validarse.</w:t>
      </w:r>
    </w:p>
    <w:p>
      <w:pPr>
        <w:pStyle w:val="Heading1"/>
      </w:pPr>
      <w:r>
        <w:t>14. Módulo 11 · Contradiction Engine</w:t>
      </w:r>
    </w:p>
    <w:p>
      <w:r>
        <w:rPr>
          <w:rFonts w:ascii="Aptos" w:hAnsi="Aptos"/>
        </w:rPr>
        <w:t>La detección de contradicciones debe ser explícita. No conviene pedir al LLM que elija silenciosamente entre dos fuentes incompatibles.</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Fuente A → recomendación X</w:t>
            </w:r>
          </w:p>
          <w:p>
            <w:pPr>
              <w:pStyle w:val="CodeBlock"/>
            </w:pPr>
            <w:r>
              <w:rPr>
                <w:rFonts w:ascii="Liberation Mono" w:hAnsi="Liberation Mono"/>
                <w:color w:val="1E252B"/>
                <w:sz w:val="17"/>
              </w:rPr>
              <w:t>Fuente B → recomendación Y</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normalización de población / fármaco / formulación / fecha / contexto</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¿Contradicción real o diferencia de contexto?</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conflict_severity = NONE | LOW | MODERATE | HIGH</w:t>
            </w:r>
          </w:p>
        </w:tc>
      </w:tr>
    </w:tbl>
    <w:p>
      <w:r>
        <w:rPr>
          <w:rFonts w:ascii="Aptos" w:hAnsi="Aptos"/>
        </w:rPr>
        <w:t>El módulo debe intentar distinguir una contradicción real de diferencias explicables por población, resistencia, dosis, formulación, fecha de la guía o ámbito geográfico.</w:t>
      </w:r>
    </w:p>
    <w:p>
      <w:pPr>
        <w:pStyle w:val="Heading1"/>
      </w:pPr>
      <w:r>
        <w:t>15. Módulo 12 · Audit trail y trazabilidad</w:t>
      </w:r>
    </w:p>
    <w:p>
      <w:r>
        <w:rPr>
          <w:rFonts w:ascii="Aptos" w:hAnsi="Aptos"/>
        </w:rPr>
        <w:t>Cada consulta debería poder reconstruirse sin almacenar datos personales innecesarios. La trazabilidad permite depurar errores y realizar una futura validación del sistema.</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w:t>
            </w:r>
          </w:p>
          <w:p>
            <w:pPr>
              <w:pStyle w:val="CodeBlock"/>
            </w:pPr>
            <w:r>
              <w:rPr>
                <w:rFonts w:ascii="Liberation Mono" w:hAnsi="Liberation Mono"/>
                <w:color w:val="1E252B"/>
                <w:sz w:val="17"/>
              </w:rPr>
              <w:t xml:space="preserve">  "query_id": "TBC-20260823-000342",</w:t>
            </w:r>
          </w:p>
          <w:p>
            <w:pPr>
              <w:pStyle w:val="CodeBlock"/>
            </w:pPr>
            <w:r>
              <w:rPr>
                <w:rFonts w:ascii="Liberation Mono" w:hAnsi="Liberation Mono"/>
                <w:color w:val="1E252B"/>
                <w:sz w:val="17"/>
              </w:rPr>
              <w:t xml:space="preserve">  "timestamp": "2026-08-23T15:50:00+02:00",</w:t>
            </w:r>
          </w:p>
          <w:p>
            <w:pPr>
              <w:pStyle w:val="CodeBlock"/>
            </w:pPr>
            <w:r>
              <w:rPr>
                <w:rFonts w:ascii="Liberation Mono" w:hAnsi="Liberation Mono"/>
                <w:color w:val="1E252B"/>
                <w:sz w:val="17"/>
              </w:rPr>
              <w:t xml:space="preserve">  "language": "es",</w:t>
            </w:r>
          </w:p>
          <w:p>
            <w:pPr>
              <w:pStyle w:val="CodeBlock"/>
            </w:pPr>
            <w:r>
              <w:rPr>
                <w:rFonts w:ascii="Liberation Mono" w:hAnsi="Liberation Mono"/>
                <w:color w:val="1E252B"/>
                <w:sz w:val="17"/>
              </w:rPr>
              <w:t xml:space="preserve">  "intent": "medication_safety",</w:t>
            </w:r>
          </w:p>
          <w:p>
            <w:pPr>
              <w:pStyle w:val="CodeBlock"/>
            </w:pPr>
            <w:r>
              <w:rPr>
                <w:rFonts w:ascii="Liberation Mono" w:hAnsi="Liberation Mono"/>
                <w:color w:val="1E252B"/>
                <w:sz w:val="17"/>
              </w:rPr>
              <w:t xml:space="preserve">  "entities": {},</w:t>
            </w:r>
          </w:p>
          <w:p>
            <w:pPr>
              <w:pStyle w:val="CodeBlock"/>
            </w:pPr>
            <w:r>
              <w:rPr>
                <w:rFonts w:ascii="Liberation Mono" w:hAnsi="Liberation Mono"/>
                <w:color w:val="1E252B"/>
                <w:sz w:val="17"/>
              </w:rPr>
              <w:t xml:space="preserve">  "safety_triggers": [],</w:t>
            </w:r>
          </w:p>
          <w:p>
            <w:pPr>
              <w:pStyle w:val="CodeBlock"/>
            </w:pPr>
            <w:r>
              <w:rPr>
                <w:rFonts w:ascii="Liberation Mono" w:hAnsi="Liberation Mono"/>
                <w:color w:val="1E252B"/>
                <w:sz w:val="17"/>
              </w:rPr>
              <w:t xml:space="preserve">  "retrieved_documents": [],</w:t>
            </w:r>
          </w:p>
          <w:p>
            <w:pPr>
              <w:pStyle w:val="CodeBlock"/>
            </w:pPr>
            <w:r>
              <w:rPr>
                <w:rFonts w:ascii="Liberation Mono" w:hAnsi="Liberation Mono"/>
                <w:color w:val="1E252B"/>
                <w:sz w:val="17"/>
              </w:rPr>
              <w:t xml:space="preserve">  "reranker_scores": [],</w:t>
            </w:r>
          </w:p>
          <w:p>
            <w:pPr>
              <w:pStyle w:val="CodeBlock"/>
            </w:pPr>
            <w:r>
              <w:rPr>
                <w:rFonts w:ascii="Liberation Mono" w:hAnsi="Liberation Mono"/>
                <w:color w:val="1E252B"/>
                <w:sz w:val="17"/>
              </w:rPr>
              <w:t xml:space="preserve">  "sources_used": [],</w:t>
            </w:r>
          </w:p>
          <w:p>
            <w:pPr>
              <w:pStyle w:val="CodeBlock"/>
            </w:pPr>
            <w:r>
              <w:rPr>
                <w:rFonts w:ascii="Liberation Mono" w:hAnsi="Liberation Mono"/>
                <w:color w:val="1E252B"/>
                <w:sz w:val="17"/>
              </w:rPr>
              <w:t xml:space="preserve">  "model": "llama3.1:8b",</w:t>
            </w:r>
          </w:p>
          <w:p>
            <w:pPr>
              <w:pStyle w:val="CodeBlock"/>
            </w:pPr>
            <w:r>
              <w:rPr>
                <w:rFonts w:ascii="Liberation Mono" w:hAnsi="Liberation Mono"/>
                <w:color w:val="1E252B"/>
                <w:sz w:val="17"/>
              </w:rPr>
              <w:t xml:space="preserve">  "critic_model": "mistral7b",</w:t>
            </w:r>
          </w:p>
          <w:p>
            <w:pPr>
              <w:pStyle w:val="CodeBlock"/>
            </w:pPr>
            <w:r>
              <w:rPr>
                <w:rFonts w:ascii="Liberation Mono" w:hAnsi="Liberation Mono"/>
                <w:color w:val="1E252B"/>
                <w:sz w:val="17"/>
              </w:rPr>
              <w:t xml:space="preserve">  "claims": [],</w:t>
            </w:r>
          </w:p>
          <w:p>
            <w:pPr>
              <w:pStyle w:val="CodeBlock"/>
            </w:pPr>
            <w:r>
              <w:rPr>
                <w:rFonts w:ascii="Liberation Mono" w:hAnsi="Liberation Mono"/>
                <w:color w:val="1E252B"/>
                <w:sz w:val="17"/>
              </w:rPr>
              <w:t xml:space="preserve">  "claim_verification": [],</w:t>
            </w:r>
          </w:p>
          <w:p>
            <w:pPr>
              <w:pStyle w:val="CodeBlock"/>
            </w:pPr>
            <w:r>
              <w:rPr>
                <w:rFonts w:ascii="Liberation Mono" w:hAnsi="Liberation Mono"/>
                <w:color w:val="1E252B"/>
                <w:sz w:val="17"/>
              </w:rPr>
              <w:t xml:space="preserve">  "evidence_sufficiency": "SUFFICIENT",</w:t>
            </w:r>
          </w:p>
          <w:p>
            <w:pPr>
              <w:pStyle w:val="CodeBlock"/>
            </w:pPr>
            <w:r>
              <w:rPr>
                <w:rFonts w:ascii="Liberation Mono" w:hAnsi="Liberation Mono"/>
                <w:color w:val="1E252B"/>
                <w:sz w:val="17"/>
              </w:rPr>
              <w:t xml:space="preserve">  "response": "...",</w:t>
            </w:r>
          </w:p>
          <w:p>
            <w:pPr>
              <w:pStyle w:val="CodeBlock"/>
            </w:pPr>
            <w:r>
              <w:rPr>
                <w:rFonts w:ascii="Liberation Mono" w:hAnsi="Liberation Mono"/>
                <w:color w:val="1E252B"/>
                <w:sz w:val="17"/>
              </w:rPr>
              <w:t xml:space="preserve">  "latency_ms": 0</w:t>
            </w:r>
          </w:p>
          <w:p>
            <w:pPr>
              <w:pStyle w:val="CodeBlock"/>
            </w:pPr>
            <w:r>
              <w:rPr>
                <w:rFonts w:ascii="Liberation Mono" w:hAnsi="Liberation Mono"/>
                <w:color w:val="1E252B"/>
                <w:sz w:val="17"/>
              </w:rPr>
              <w:t>}</w:t>
            </w:r>
          </w:p>
        </w:tc>
      </w:tr>
    </w:tbl>
    <w:p>
      <w:pPr>
        <w:pStyle w:val="Heading2"/>
      </w:pPr>
      <w:r>
        <w:t>15.1 Datos que no guardaría por defecto</w:t>
      </w:r>
    </w:p>
    <w:p>
      <w:pPr>
        <w:pStyle w:val="ListBullet"/>
      </w:pPr>
      <w:r>
        <w:rPr>
          <w:rFonts w:ascii="Aptos" w:hAnsi="Aptos"/>
        </w:rPr>
        <w:t>Nombre, DNI, dirección u otros identificadores si no son necesarios.</w:t>
      </w:r>
    </w:p>
    <w:p>
      <w:pPr>
        <w:pStyle w:val="ListBullet"/>
      </w:pPr>
      <w:r>
        <w:rPr>
          <w:rFonts w:ascii="Aptos" w:hAnsi="Aptos"/>
        </w:rPr>
        <w:t>Texto libre sin una política clara de retención cuando pueda incluir datos personales.</w:t>
      </w:r>
    </w:p>
    <w:p>
      <w:pPr>
        <w:pStyle w:val="ListBullet"/>
      </w:pPr>
      <w:r>
        <w:rPr>
          <w:rFonts w:ascii="Aptos" w:hAnsi="Aptos"/>
        </w:rPr>
        <w:t>Información clínica identificable fuera de un entorno autorizado.</w:t>
      </w:r>
    </w:p>
    <w:p>
      <w:pPr>
        <w:pStyle w:val="Heading1"/>
      </w:pPr>
      <w:r>
        <w:t>16. Qué hacer con PubMed Live</w:t>
      </w:r>
    </w:p>
    <w:p>
      <w:r>
        <w:rPr>
          <w:rFonts w:ascii="Aptos" w:hAnsi="Aptos"/>
        </w:rPr>
        <w:t>PubMed Live es útil cuando la base local no cubre una pregunta o cuando la actualidad es importante, pero no lo conectaría directamente con la generación. Los resultados deben pasar por validación de metadatos, deduplicación, ranking y Evidence Pack.</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PubMed Live</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validar PMID / metadata</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deduplicar contra tbc_master.db</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recuperar abstract / contenido permitido</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reranking</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clasificar tipo de evidencia</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Evidence Pack</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t>generación</w:t>
            </w:r>
          </w:p>
        </w:tc>
      </w:tr>
    </w:tbl>
    <w:p>
      <w:pPr>
        <w:pStyle w:val="Heading1"/>
      </w:pPr>
      <w:r>
        <w:t>17. Flujo clínico completo con ejemplos</w:t>
      </w:r>
    </w:p>
    <w:p>
      <w:pPr>
        <w:pStyle w:val="Heading2"/>
      </w:pPr>
      <w:r>
        <w:t>17.1 Caso A · Pregunta sencilla de contagio</w:t>
      </w:r>
    </w:p>
    <w:p>
      <w:r>
        <w:rPr>
          <w:rFonts w:ascii="Aptos" w:hAnsi="Aptos"/>
        </w:rPr>
        <w:t>Pregunta: «¿La tuberculosis se contagia por dar la mano?»</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Safety router → sin red flag</w:t>
            </w:r>
          </w:p>
          <w:p>
            <w:pPr>
              <w:pStyle w:val="CodeBlock"/>
            </w:pPr>
            <w:r>
              <w:rPr>
                <w:rFonts w:ascii="Liberation Mono" w:hAnsi="Liberation Mono"/>
                <w:color w:val="1E252B"/>
                <w:sz w:val="17"/>
              </w:rPr>
              <w:t>Intent → transmission</w:t>
            </w:r>
          </w:p>
          <w:p>
            <w:pPr>
              <w:pStyle w:val="CodeBlock"/>
            </w:pPr>
            <w:r>
              <w:rPr>
                <w:rFonts w:ascii="Liberation Mono" w:hAnsi="Liberation Mono"/>
                <w:color w:val="1E252B"/>
                <w:sz w:val="17"/>
              </w:rPr>
              <w:t>Entities → contacto físico / mano</w:t>
            </w:r>
          </w:p>
          <w:p>
            <w:pPr>
              <w:pStyle w:val="CodeBlock"/>
            </w:pPr>
            <w:r>
              <w:rPr>
                <w:rFonts w:ascii="Liberation Mono" w:hAnsi="Liberation Mono"/>
                <w:color w:val="1E252B"/>
                <w:sz w:val="17"/>
              </w:rPr>
              <w:t>Retrieval híbrido → guías validadas</w:t>
            </w:r>
          </w:p>
          <w:p>
            <w:pPr>
              <w:pStyle w:val="CodeBlock"/>
            </w:pPr>
            <w:r>
              <w:rPr>
                <w:rFonts w:ascii="Liberation Mono" w:hAnsi="Liberation Mono"/>
                <w:color w:val="1E252B"/>
                <w:sz w:val="17"/>
              </w:rPr>
              <w:t>Evidence Pack → suficiente</w:t>
            </w:r>
          </w:p>
          <w:p>
            <w:pPr>
              <w:pStyle w:val="CodeBlock"/>
            </w:pPr>
            <w:r>
              <w:rPr>
                <w:rFonts w:ascii="Liberation Mono" w:hAnsi="Liberation Mono"/>
                <w:color w:val="1E252B"/>
                <w:sz w:val="17"/>
              </w:rPr>
              <w:t>Llama → respuesta breve y adaptada al idioma</w:t>
            </w:r>
          </w:p>
          <w:p>
            <w:pPr>
              <w:pStyle w:val="CodeBlock"/>
            </w:pPr>
            <w:r>
              <w:rPr>
                <w:rFonts w:ascii="Liberation Mono" w:hAnsi="Liberation Mono"/>
                <w:color w:val="1E252B"/>
                <w:sz w:val="17"/>
              </w:rPr>
              <w:t>Claim verification → PASS</w:t>
            </w:r>
          </w:p>
          <w:p>
            <w:pPr>
              <w:pStyle w:val="CodeBlock"/>
            </w:pPr>
            <w:r>
              <w:rPr>
                <w:rFonts w:ascii="Liberation Mono" w:hAnsi="Liberation Mono"/>
                <w:color w:val="1E252B"/>
                <w:sz w:val="17"/>
              </w:rPr>
              <w:t>Mistral → no necesario</w:t>
            </w:r>
          </w:p>
          <w:p>
            <w:pPr>
              <w:pStyle w:val="CodeBlock"/>
            </w:pPr>
            <w:r>
              <w:rPr>
                <w:rFonts w:ascii="Liberation Mono" w:hAnsi="Liberation Mono"/>
                <w:color w:val="1E252B"/>
                <w:sz w:val="17"/>
              </w:rPr>
              <w:t>Respuesta → usuario</w:t>
            </w:r>
          </w:p>
        </w:tc>
      </w:tr>
    </w:tbl>
    <w:p>
      <w:pPr>
        <w:pStyle w:val="Heading2"/>
      </w:pPr>
      <w:r>
        <w:t>17.2 Caso B · Posible toxicidad por etambutol</w:t>
      </w:r>
    </w:p>
    <w:p>
      <w:r>
        <w:rPr>
          <w:rFonts w:ascii="Aptos" w:hAnsi="Aptos"/>
        </w:rPr>
        <w:t>Pregunta: «Desde que tomo etambutol veo los colores diferentes.»</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Safety router → HIGH: ethambutol_visual_symptoms</w:t>
            </w:r>
          </w:p>
          <w:p>
            <w:pPr>
              <w:pStyle w:val="CodeBlock"/>
            </w:pPr>
            <w:r>
              <w:rPr>
                <w:rFonts w:ascii="Liberation Mono" w:hAnsi="Liberation Mono"/>
                <w:color w:val="1E252B"/>
                <w:sz w:val="17"/>
              </w:rPr>
              <w:t>Evidence router → CIMA/AEMPS + guía TB</w:t>
            </w:r>
          </w:p>
          <w:p>
            <w:pPr>
              <w:pStyle w:val="CodeBlock"/>
            </w:pPr>
            <w:r>
              <w:rPr>
                <w:rFonts w:ascii="Liberation Mono" w:hAnsi="Liberation Mono"/>
                <w:color w:val="1E252B"/>
                <w:sz w:val="17"/>
              </w:rPr>
              <w:t>Retrieval híbrido → evidencia específica</w:t>
            </w:r>
          </w:p>
          <w:p>
            <w:pPr>
              <w:pStyle w:val="CodeBlock"/>
            </w:pPr>
            <w:r>
              <w:rPr>
                <w:rFonts w:ascii="Liberation Mono" w:hAnsi="Liberation Mono"/>
                <w:color w:val="1E252B"/>
                <w:sz w:val="17"/>
              </w:rPr>
              <w:t>Evidence Pack → fuente prioritaria disponible</w:t>
            </w:r>
          </w:p>
          <w:p>
            <w:pPr>
              <w:pStyle w:val="CodeBlock"/>
            </w:pPr>
            <w:r>
              <w:rPr>
                <w:rFonts w:ascii="Liberation Mono" w:hAnsi="Liberation Mono"/>
                <w:color w:val="1E252B"/>
                <w:sz w:val="17"/>
              </w:rPr>
              <w:t>Generación → mensaje orientado a seguridad</w:t>
            </w:r>
          </w:p>
          <w:p>
            <w:pPr>
              <w:pStyle w:val="CodeBlock"/>
            </w:pPr>
            <w:r>
              <w:rPr>
                <w:rFonts w:ascii="Liberation Mono" w:hAnsi="Liberation Mono"/>
                <w:color w:val="1E252B"/>
                <w:sz w:val="17"/>
              </w:rPr>
              <w:t>Claim verification → obligatorio</w:t>
            </w:r>
          </w:p>
          <w:p>
            <w:pPr>
              <w:pStyle w:val="CodeBlock"/>
            </w:pPr>
            <w:r>
              <w:rPr>
                <w:rFonts w:ascii="Liberation Mono" w:hAnsi="Liberation Mono"/>
                <w:color w:val="1E252B"/>
                <w:sz w:val="17"/>
              </w:rPr>
              <w:t>Mistral critic → obligatorio por alto riesgo</w:t>
            </w:r>
          </w:p>
          <w:p>
            <w:pPr>
              <w:pStyle w:val="CodeBlock"/>
            </w:pPr>
            <w:r>
              <w:rPr>
                <w:rFonts w:ascii="Liberation Mono" w:hAnsi="Liberation Mono"/>
                <w:color w:val="1E252B"/>
                <w:sz w:val="17"/>
              </w:rPr>
              <w:t>Safety gate → PASS o bloqueo</w:t>
            </w:r>
          </w:p>
          <w:p>
            <w:pPr>
              <w:pStyle w:val="CodeBlock"/>
            </w:pPr>
            <w:r>
              <w:rPr>
                <w:rFonts w:ascii="Liberation Mono" w:hAnsi="Liberation Mono"/>
                <w:color w:val="1E252B"/>
                <w:sz w:val="17"/>
              </w:rPr>
              <w:t>Respuesta → usuario + recomendación de valoración según evidencia</w:t>
            </w:r>
          </w:p>
        </w:tc>
      </w:tr>
    </w:tbl>
    <w:p>
      <w:pPr>
        <w:pStyle w:val="Heading2"/>
      </w:pPr>
      <w:r>
        <w:t>17.3 Caso C · Evidencia insuficiente</w:t>
      </w:r>
    </w:p>
    <w:p>
      <w:r>
        <w:rPr>
          <w:rFonts w:ascii="Aptos" w:hAnsi="Aptos"/>
        </w:rPr>
        <w:t>Pregunta: «¿Puedo modificar por mi cuenta la dosis de todos los fármacos para tomarlos cada dos días?»</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Safety router → medication_regimen_change</w:t>
            </w:r>
          </w:p>
          <w:p>
            <w:pPr>
              <w:pStyle w:val="CodeBlock"/>
            </w:pPr>
            <w:r>
              <w:rPr>
                <w:rFonts w:ascii="Liberation Mono" w:hAnsi="Liberation Mono"/>
                <w:color w:val="1E252B"/>
                <w:sz w:val="17"/>
              </w:rPr>
              <w:t>Evidence retrieval → guías + medicamentos</w:t>
            </w:r>
          </w:p>
          <w:p>
            <w:pPr>
              <w:pStyle w:val="CodeBlock"/>
            </w:pPr>
            <w:r>
              <w:rPr>
                <w:rFonts w:ascii="Liberation Mono" w:hAnsi="Liberation Mono"/>
                <w:color w:val="1E252B"/>
                <w:sz w:val="17"/>
              </w:rPr>
              <w:t>Evidence sufficiency → puede existir información general, pero falta contexto individual</w:t>
            </w:r>
          </w:p>
          <w:p>
            <w:pPr>
              <w:pStyle w:val="CodeBlock"/>
            </w:pPr>
            <w:r>
              <w:rPr>
                <w:rFonts w:ascii="Liberation Mono" w:hAnsi="Liberation Mono"/>
                <w:color w:val="1E252B"/>
                <w:sz w:val="17"/>
              </w:rPr>
              <w:t>Generación → no autorizar modificación individual</w:t>
            </w:r>
          </w:p>
          <w:p>
            <w:pPr>
              <w:pStyle w:val="CodeBlock"/>
            </w:pPr>
            <w:r>
              <w:rPr>
                <w:rFonts w:ascii="Liberation Mono" w:hAnsi="Liberation Mono"/>
                <w:color w:val="1E252B"/>
                <w:sz w:val="17"/>
              </w:rPr>
              <w:t>Abstention/escalation → valoración por equipo tratante</w:t>
            </w:r>
          </w:p>
          <w:p>
            <w:pPr>
              <w:pStyle w:val="CodeBlock"/>
            </w:pPr>
            <w:r>
              <w:rPr>
                <w:rFonts w:ascii="Liberation Mono" w:hAnsi="Liberation Mono"/>
                <w:color w:val="1E252B"/>
                <w:sz w:val="17"/>
              </w:rPr>
              <w:t>Respuesta → usuario</w:t>
            </w:r>
          </w:p>
        </w:tc>
      </w:tr>
    </w:tbl>
    <w:p>
      <w:pPr>
        <w:pStyle w:val="Heading1"/>
      </w:pPr>
      <w:r>
        <w:t>18. Propuesta de estructura de código</w:t>
      </w:r>
    </w:p>
    <w:p>
      <w:r>
        <w:rPr>
          <w:rFonts w:ascii="Aptos" w:hAnsi="Aptos"/>
        </w:rPr>
        <w:t>Sin conocer todavía el contenido exacto de todos tus archivos, organizaría la lógica en módulos para evitar que backend/main.py y rag.py acumulen responsabilidades.</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backend/</w:t>
            </w:r>
          </w:p>
          <w:p>
            <w:pPr>
              <w:pStyle w:val="CodeBlock"/>
            </w:pPr>
            <w:r>
              <w:rPr>
                <w:rFonts w:ascii="Liberation Mono" w:hAnsi="Liberation Mono"/>
                <w:color w:val="1E252B"/>
                <w:sz w:val="17"/>
              </w:rPr>
              <w:t>├── main.py</w:t>
            </w:r>
          </w:p>
          <w:p>
            <w:pPr>
              <w:pStyle w:val="CodeBlock"/>
            </w:pPr>
            <w:r>
              <w:rPr>
                <w:rFonts w:ascii="Liberation Mono" w:hAnsi="Liberation Mono"/>
                <w:color w:val="1E252B"/>
                <w:sz w:val="17"/>
              </w:rPr>
              <w:t>├── api/</w:t>
            </w:r>
          </w:p>
          <w:p>
            <w:pPr>
              <w:pStyle w:val="CodeBlock"/>
            </w:pPr>
            <w:r>
              <w:rPr>
                <w:rFonts w:ascii="Liberation Mono" w:hAnsi="Liberation Mono"/>
                <w:color w:val="1E252B"/>
                <w:sz w:val="17"/>
              </w:rPr>
              <w:t>│   ├── chat.py</w:t>
            </w:r>
          </w:p>
          <w:p>
            <w:pPr>
              <w:pStyle w:val="CodeBlock"/>
            </w:pPr>
            <w:r>
              <w:rPr>
                <w:rFonts w:ascii="Liberation Mono" w:hAnsi="Liberation Mono"/>
                <w:color w:val="1E252B"/>
                <w:sz w:val="17"/>
              </w:rPr>
              <w:t>│   ├── bibliography.py</w:t>
            </w:r>
          </w:p>
          <w:p>
            <w:pPr>
              <w:pStyle w:val="CodeBlock"/>
            </w:pPr>
            <w:r>
              <w:rPr>
                <w:rFonts w:ascii="Liberation Mono" w:hAnsi="Liberation Mono"/>
                <w:color w:val="1E252B"/>
                <w:sz w:val="17"/>
              </w:rPr>
              <w:t>│   └── translate.py</w:t>
            </w:r>
          </w:p>
          <w:p>
            <w:pPr>
              <w:pStyle w:val="CodeBlock"/>
            </w:pPr>
            <w:r>
              <w:rPr>
                <w:rFonts w:ascii="Liberation Mono" w:hAnsi="Liberation Mono"/>
                <w:color w:val="1E252B"/>
                <w:sz w:val="17"/>
              </w:rPr>
              <w:t>├── clinical/</w:t>
            </w:r>
          </w:p>
          <w:p>
            <w:pPr>
              <w:pStyle w:val="CodeBlock"/>
            </w:pPr>
            <w:r>
              <w:rPr>
                <w:rFonts w:ascii="Liberation Mono" w:hAnsi="Liberation Mono"/>
                <w:color w:val="1E252B"/>
                <w:sz w:val="17"/>
              </w:rPr>
              <w:t>│   ├── safety_router.py</w:t>
            </w:r>
          </w:p>
          <w:p>
            <w:pPr>
              <w:pStyle w:val="CodeBlock"/>
            </w:pPr>
            <w:r>
              <w:rPr>
                <w:rFonts w:ascii="Liberation Mono" w:hAnsi="Liberation Mono"/>
                <w:color w:val="1E252B"/>
                <w:sz w:val="17"/>
              </w:rPr>
              <w:t>│   ├── red_flags.py</w:t>
            </w:r>
          </w:p>
          <w:p>
            <w:pPr>
              <w:pStyle w:val="CodeBlock"/>
            </w:pPr>
            <w:r>
              <w:rPr>
                <w:rFonts w:ascii="Liberation Mono" w:hAnsi="Liberation Mono"/>
                <w:color w:val="1E252B"/>
                <w:sz w:val="17"/>
              </w:rPr>
              <w:t>│   ├── drug_rules.py</w:t>
            </w:r>
          </w:p>
          <w:p>
            <w:pPr>
              <w:pStyle w:val="CodeBlock"/>
            </w:pPr>
            <w:r>
              <w:rPr>
                <w:rFonts w:ascii="Liberation Mono" w:hAnsi="Liberation Mono"/>
                <w:color w:val="1E252B"/>
                <w:sz w:val="17"/>
              </w:rPr>
              <w:t>│   └── entity_extractor.py</w:t>
            </w:r>
          </w:p>
          <w:p>
            <w:pPr>
              <w:pStyle w:val="CodeBlock"/>
            </w:pPr>
            <w:r>
              <w:rPr>
                <w:rFonts w:ascii="Liberation Mono" w:hAnsi="Liberation Mono"/>
                <w:color w:val="1E252B"/>
                <w:sz w:val="17"/>
              </w:rPr>
              <w:t>├── retrieval/</w:t>
            </w:r>
          </w:p>
          <w:p>
            <w:pPr>
              <w:pStyle w:val="CodeBlock"/>
            </w:pPr>
            <w:r>
              <w:rPr>
                <w:rFonts w:ascii="Liberation Mono" w:hAnsi="Liberation Mono"/>
                <w:color w:val="1E252B"/>
                <w:sz w:val="17"/>
              </w:rPr>
              <w:t>│   ├── hybrid.py</w:t>
            </w:r>
          </w:p>
          <w:p>
            <w:pPr>
              <w:pStyle w:val="CodeBlock"/>
            </w:pPr>
            <w:r>
              <w:rPr>
                <w:rFonts w:ascii="Liberation Mono" w:hAnsi="Liberation Mono"/>
                <w:color w:val="1E252B"/>
                <w:sz w:val="17"/>
              </w:rPr>
              <w:t>│   ├── bm25.py</w:t>
            </w:r>
          </w:p>
          <w:p>
            <w:pPr>
              <w:pStyle w:val="CodeBlock"/>
            </w:pPr>
            <w:r>
              <w:rPr>
                <w:rFonts w:ascii="Liberation Mono" w:hAnsi="Liberation Mono"/>
                <w:color w:val="1E252B"/>
                <w:sz w:val="17"/>
              </w:rPr>
              <w:t>│   ├── vector.py</w:t>
            </w:r>
          </w:p>
          <w:p>
            <w:pPr>
              <w:pStyle w:val="CodeBlock"/>
            </w:pPr>
            <w:r>
              <w:rPr>
                <w:rFonts w:ascii="Liberation Mono" w:hAnsi="Liberation Mono"/>
                <w:color w:val="1E252B"/>
                <w:sz w:val="17"/>
              </w:rPr>
              <w:t>│   ├── fts.py</w:t>
            </w:r>
          </w:p>
          <w:p>
            <w:pPr>
              <w:pStyle w:val="CodeBlock"/>
            </w:pPr>
            <w:r>
              <w:rPr>
                <w:rFonts w:ascii="Liberation Mono" w:hAnsi="Liberation Mono"/>
                <w:color w:val="1E252B"/>
                <w:sz w:val="17"/>
              </w:rPr>
              <w:t>│   ├── rrf.py</w:t>
            </w:r>
          </w:p>
          <w:p>
            <w:pPr>
              <w:pStyle w:val="CodeBlock"/>
            </w:pPr>
            <w:r>
              <w:rPr>
                <w:rFonts w:ascii="Liberation Mono" w:hAnsi="Liberation Mono"/>
                <w:color w:val="1E252B"/>
                <w:sz w:val="17"/>
              </w:rPr>
              <w:t>│   ├── reranker.py</w:t>
            </w:r>
          </w:p>
          <w:p>
            <w:pPr>
              <w:pStyle w:val="CodeBlock"/>
            </w:pPr>
            <w:r>
              <w:rPr>
                <w:rFonts w:ascii="Liberation Mono" w:hAnsi="Liberation Mono"/>
                <w:color w:val="1E252B"/>
                <w:sz w:val="17"/>
              </w:rPr>
              <w:t>│   └── source_router.py</w:t>
            </w:r>
          </w:p>
          <w:p>
            <w:pPr>
              <w:pStyle w:val="CodeBlock"/>
            </w:pPr>
            <w:r>
              <w:rPr>
                <w:rFonts w:ascii="Liberation Mono" w:hAnsi="Liberation Mono"/>
                <w:color w:val="1E252B"/>
                <w:sz w:val="17"/>
              </w:rPr>
              <w:t>├── evidence/</w:t>
            </w:r>
          </w:p>
          <w:p>
            <w:pPr>
              <w:pStyle w:val="CodeBlock"/>
            </w:pPr>
            <w:r>
              <w:rPr>
                <w:rFonts w:ascii="Liberation Mono" w:hAnsi="Liberation Mono"/>
                <w:color w:val="1E252B"/>
                <w:sz w:val="17"/>
              </w:rPr>
              <w:t>│   ├── pack.py</w:t>
            </w:r>
          </w:p>
          <w:p>
            <w:pPr>
              <w:pStyle w:val="CodeBlock"/>
            </w:pPr>
            <w:r>
              <w:rPr>
                <w:rFonts w:ascii="Liberation Mono" w:hAnsi="Liberation Mono"/>
                <w:color w:val="1E252B"/>
                <w:sz w:val="17"/>
              </w:rPr>
              <w:t>│   ├── hierarchy.py</w:t>
            </w:r>
          </w:p>
          <w:p>
            <w:pPr>
              <w:pStyle w:val="CodeBlock"/>
            </w:pPr>
            <w:r>
              <w:rPr>
                <w:rFonts w:ascii="Liberation Mono" w:hAnsi="Liberation Mono"/>
                <w:color w:val="1E252B"/>
                <w:sz w:val="17"/>
              </w:rPr>
              <w:t>│   ├── sufficiency.py</w:t>
            </w:r>
          </w:p>
          <w:p>
            <w:pPr>
              <w:pStyle w:val="CodeBlock"/>
            </w:pPr>
            <w:r>
              <w:rPr>
                <w:rFonts w:ascii="Liberation Mono" w:hAnsi="Liberation Mono"/>
                <w:color w:val="1E252B"/>
                <w:sz w:val="17"/>
              </w:rPr>
              <w:t>│   └── contradictions.py</w:t>
            </w:r>
          </w:p>
          <w:p>
            <w:pPr>
              <w:pStyle w:val="CodeBlock"/>
            </w:pPr>
            <w:r>
              <w:rPr>
                <w:rFonts w:ascii="Liberation Mono" w:hAnsi="Liberation Mono"/>
                <w:color w:val="1E252B"/>
                <w:sz w:val="17"/>
              </w:rPr>
              <w:t>├── generation/</w:t>
            </w:r>
          </w:p>
          <w:p>
            <w:pPr>
              <w:pStyle w:val="CodeBlock"/>
            </w:pPr>
            <w:r>
              <w:rPr>
                <w:rFonts w:ascii="Liberation Mono" w:hAnsi="Liberation Mono"/>
                <w:color w:val="1E252B"/>
                <w:sz w:val="17"/>
              </w:rPr>
              <w:t>│   ├── generator.py</w:t>
            </w:r>
          </w:p>
          <w:p>
            <w:pPr>
              <w:pStyle w:val="CodeBlock"/>
            </w:pPr>
            <w:r>
              <w:rPr>
                <w:rFonts w:ascii="Liberation Mono" w:hAnsi="Liberation Mono"/>
                <w:color w:val="1E252B"/>
                <w:sz w:val="17"/>
              </w:rPr>
              <w:t>│   ├── claims.py</w:t>
            </w:r>
          </w:p>
          <w:p>
            <w:pPr>
              <w:pStyle w:val="CodeBlock"/>
            </w:pPr>
            <w:r>
              <w:rPr>
                <w:rFonts w:ascii="Liberation Mono" w:hAnsi="Liberation Mono"/>
                <w:color w:val="1E252B"/>
                <w:sz w:val="17"/>
              </w:rPr>
              <w:t>│   ├── verifier.py</w:t>
            </w:r>
          </w:p>
          <w:p>
            <w:pPr>
              <w:pStyle w:val="CodeBlock"/>
            </w:pPr>
            <w:r>
              <w:rPr>
                <w:rFonts w:ascii="Liberation Mono" w:hAnsi="Liberation Mono"/>
                <w:color w:val="1E252B"/>
                <w:sz w:val="17"/>
              </w:rPr>
              <w:t>│   ├── critic.py</w:t>
            </w:r>
          </w:p>
          <w:p>
            <w:pPr>
              <w:pStyle w:val="CodeBlock"/>
            </w:pPr>
            <w:r>
              <w:rPr>
                <w:rFonts w:ascii="Liberation Mono" w:hAnsi="Liberation Mono"/>
                <w:color w:val="1E252B"/>
                <w:sz w:val="17"/>
              </w:rPr>
              <w:t>│   └── confidence.py</w:t>
            </w:r>
          </w:p>
          <w:p>
            <w:pPr>
              <w:pStyle w:val="CodeBlock"/>
            </w:pPr>
            <w:r>
              <w:rPr>
                <w:rFonts w:ascii="Liberation Mono" w:hAnsi="Liberation Mono"/>
                <w:color w:val="1E252B"/>
                <w:sz w:val="17"/>
              </w:rPr>
              <w:t>├── connectors/</w:t>
            </w:r>
          </w:p>
          <w:p>
            <w:pPr>
              <w:pStyle w:val="CodeBlock"/>
            </w:pPr>
            <w:r>
              <w:rPr>
                <w:rFonts w:ascii="Liberation Mono" w:hAnsi="Liberation Mono"/>
                <w:color w:val="1E252B"/>
                <w:sz w:val="17"/>
              </w:rPr>
              <w:t>│   ├── aemps.py</w:t>
            </w:r>
          </w:p>
          <w:p>
            <w:pPr>
              <w:pStyle w:val="CodeBlock"/>
            </w:pPr>
            <w:r>
              <w:rPr>
                <w:rFonts w:ascii="Liberation Mono" w:hAnsi="Liberation Mono"/>
                <w:color w:val="1E252B"/>
                <w:sz w:val="17"/>
              </w:rPr>
              <w:t>│   ├── pubmed.py</w:t>
            </w:r>
          </w:p>
          <w:p>
            <w:pPr>
              <w:pStyle w:val="CodeBlock"/>
            </w:pPr>
            <w:r>
              <w:rPr>
                <w:rFonts w:ascii="Liberation Mono" w:hAnsi="Liberation Mono"/>
                <w:color w:val="1E252B"/>
                <w:sz w:val="17"/>
              </w:rPr>
              <w:t>│   ├── bibliography_api.py</w:t>
            </w:r>
          </w:p>
          <w:p>
            <w:pPr>
              <w:pStyle w:val="CodeBlock"/>
            </w:pPr>
            <w:r>
              <w:rPr>
                <w:rFonts w:ascii="Liberation Mono" w:hAnsi="Liberation Mono"/>
                <w:color w:val="1E252B"/>
                <w:sz w:val="17"/>
              </w:rPr>
              <w:t>│   └── llamafile.py</w:t>
            </w:r>
          </w:p>
          <w:p>
            <w:pPr>
              <w:pStyle w:val="CodeBlock"/>
            </w:pPr>
            <w:r>
              <w:rPr>
                <w:rFonts w:ascii="Liberation Mono" w:hAnsi="Liberation Mono"/>
                <w:color w:val="1E252B"/>
                <w:sz w:val="17"/>
              </w:rPr>
              <w:t>└── observability/</w:t>
            </w:r>
          </w:p>
          <w:p>
            <w:pPr>
              <w:pStyle w:val="CodeBlock"/>
            </w:pPr>
            <w:r>
              <w:rPr>
                <w:rFonts w:ascii="Liberation Mono" w:hAnsi="Liberation Mono"/>
                <w:color w:val="1E252B"/>
                <w:sz w:val="17"/>
              </w:rPr>
              <w:t xml:space="preserve">    ├── audit.py</w:t>
            </w:r>
          </w:p>
          <w:p>
            <w:pPr>
              <w:pStyle w:val="CodeBlock"/>
            </w:pPr>
            <w:r>
              <w:rPr>
                <w:rFonts w:ascii="Liberation Mono" w:hAnsi="Liberation Mono"/>
                <w:color w:val="1E252B"/>
                <w:sz w:val="17"/>
              </w:rPr>
              <w:t xml:space="preserve">    ├── metrics.py</w:t>
            </w:r>
          </w:p>
          <w:p>
            <w:pPr>
              <w:pStyle w:val="CodeBlock"/>
            </w:pPr>
            <w:r>
              <w:rPr>
                <w:rFonts w:ascii="Liberation Mono" w:hAnsi="Liberation Mono"/>
                <w:color w:val="1E252B"/>
                <w:sz w:val="17"/>
              </w:rPr>
              <w:t xml:space="preserve">    └── health.py</w:t>
            </w:r>
          </w:p>
        </w:tc>
      </w:tr>
    </w:tbl>
    <w:p>
      <w:pPr>
        <w:pStyle w:val="Heading1"/>
      </w:pPr>
      <w:r>
        <w:t>19. Orden recomendado de implementación</w:t>
      </w:r>
    </w:p>
    <w:p>
      <w:r>
        <w:rPr>
          <w:rFonts w:ascii="Aptos" w:hAnsi="Aptos"/>
        </w:rPr>
        <w:t>No intentaría implementar todo a la vez. La secuencia siguiente permite medir el efecto de cada cambio.</w:t>
      </w:r>
    </w:p>
    <w:p>
      <w:pPr>
        <w:pStyle w:val="Heading3"/>
      </w:pPr>
      <w:r>
        <w:t>Fase 1 · Seguridad antes de generación</w:t>
      </w:r>
    </w:p>
    <w:p>
      <w:r>
        <w:rPr>
          <w:rFonts w:ascii="Aptos" w:hAnsi="Aptos"/>
        </w:rPr>
        <w:t>Mover/duplicar las alertas críticas desde SOTA a un clinical_safety_router previo. Crear tests unitarios de red flags.</w:t>
      </w:r>
    </w:p>
    <w:p>
      <w:pPr>
        <w:pStyle w:val="Heading3"/>
      </w:pPr>
      <w:r>
        <w:t>Fase 2 · Retrieval híbrido principal</w:t>
      </w:r>
    </w:p>
    <w:p>
      <w:r>
        <w:rPr>
          <w:rFonts w:ascii="Aptos" w:hAnsi="Aptos"/>
        </w:rPr>
        <w:t>Ejecutar BM25 + Chroma + FTS5 en paralelo, fusionar con RRF y mantener CrossEncoder como reranker.</w:t>
      </w:r>
    </w:p>
    <w:p>
      <w:pPr>
        <w:pStyle w:val="Heading3"/>
      </w:pPr>
      <w:r>
        <w:t>Fase 3 · Evidence Pack</w:t>
      </w:r>
    </w:p>
    <w:p>
      <w:r>
        <w:rPr>
          <w:rFonts w:ascii="Aptos" w:hAnsi="Aptos"/>
        </w:rPr>
        <w:t>Crear un esquema Pydantic estable y hacer que generate_response reciba EvidencePack en lugar de fragments sueltos.</w:t>
      </w:r>
    </w:p>
    <w:p>
      <w:pPr>
        <w:pStyle w:val="Heading3"/>
      </w:pPr>
      <w:r>
        <w:t>Fase 4 · Suficiencia y abstención</w:t>
      </w:r>
    </w:p>
    <w:p>
      <w:r>
        <w:rPr>
          <w:rFonts w:ascii="Aptos" w:hAnsi="Aptos"/>
        </w:rPr>
        <w:t>Introducir una salida formal INSUFFICIENT/ABSTAIN antes de generación clínica.</w:t>
      </w:r>
    </w:p>
    <w:p>
      <w:pPr>
        <w:pStyle w:val="Heading3"/>
      </w:pPr>
      <w:r>
        <w:t>Fase 5 · Claim verification</w:t>
      </w:r>
    </w:p>
    <w:p>
      <w:r>
        <w:rPr>
          <w:rFonts w:ascii="Aptos" w:hAnsi="Aptos"/>
        </w:rPr>
        <w:t>Extraer claims de la respuesta y vincularlos con source_id.</w:t>
      </w:r>
    </w:p>
    <w:p>
      <w:pPr>
        <w:pStyle w:val="Heading3"/>
      </w:pPr>
      <w:r>
        <w:t>Fase 6 · Mistral selectivo</w:t>
      </w:r>
    </w:p>
    <w:p>
      <w:r>
        <w:rPr>
          <w:rFonts w:ascii="Aptos" w:hAnsi="Aptos"/>
        </w:rPr>
        <w:t>Ejecutar el segundo modelo solo para alto riesgo, conflicto, baja confianza o fallo de verificación.</w:t>
      </w:r>
    </w:p>
    <w:p>
      <w:pPr>
        <w:pStyle w:val="Heading3"/>
      </w:pPr>
      <w:r>
        <w:t>Fase 7 · Auditoría y dashboard</w:t>
      </w:r>
    </w:p>
    <w:p>
      <w:r>
        <w:rPr>
          <w:rFonts w:ascii="Aptos" w:hAnsi="Aptos"/>
        </w:rPr>
        <w:t>Registrar retrieval, fuentes, claims, decisiones de seguridad, tiempos y resultados.</w:t>
      </w:r>
    </w:p>
    <w:p>
      <w:pPr>
        <w:pStyle w:val="Heading3"/>
      </w:pPr>
      <w:r>
        <w:t>Fase 8 · Validación</w:t>
      </w:r>
    </w:p>
    <w:p>
      <w:r>
        <w:rPr>
          <w:rFonts w:ascii="Aptos" w:hAnsi="Aptos"/>
        </w:rPr>
        <w:t>Ejecutar un dataset cerrado y ajustar umbrales sin tocar el conjunto final de prueba.</w:t>
      </w:r>
    </w:p>
    <w:p>
      <w:pPr>
        <w:pStyle w:val="Heading1"/>
      </w:pPr>
      <w:r>
        <w:t>20. Ejemplo de esquema Pydantic</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from pydantic import BaseModel, Field</w:t>
            </w:r>
          </w:p>
          <w:p>
            <w:pPr>
              <w:pStyle w:val="CodeBlock"/>
            </w:pPr>
            <w:r>
              <w:rPr>
                <w:rFonts w:ascii="Liberation Mono" w:hAnsi="Liberation Mono"/>
                <w:color w:val="1E252B"/>
                <w:sz w:val="17"/>
              </w:rPr>
              <w:t>from typing import List, Optional, Literal</w:t>
            </w:r>
          </w:p>
          <w:p>
            <w:pPr>
              <w:pStyle w:val="CodeBlock"/>
            </w:pPr>
            <w:r>
              <w:rPr>
                <w:rFonts w:ascii="Liberation Mono" w:hAnsi="Liberation Mono"/>
                <w:color w:val="1E252B"/>
                <w:sz w:val="17"/>
              </w:rPr>
            </w:r>
          </w:p>
          <w:p>
            <w:pPr>
              <w:pStyle w:val="CodeBlock"/>
            </w:pPr>
            <w:r>
              <w:rPr>
                <w:rFonts w:ascii="Liberation Mono" w:hAnsi="Liberation Mono"/>
                <w:color w:val="1E252B"/>
                <w:sz w:val="17"/>
              </w:rPr>
              <w:t>class EvidenceItem(BaseModel):</w:t>
            </w:r>
          </w:p>
          <w:p>
            <w:pPr>
              <w:pStyle w:val="CodeBlock"/>
            </w:pPr>
            <w:r>
              <w:rPr>
                <w:rFonts w:ascii="Liberation Mono" w:hAnsi="Liberation Mono"/>
                <w:color w:val="1E252B"/>
                <w:sz w:val="17"/>
              </w:rPr>
              <w:t xml:space="preserve">    source_id: str</w:t>
            </w:r>
          </w:p>
          <w:p>
            <w:pPr>
              <w:pStyle w:val="CodeBlock"/>
            </w:pPr>
            <w:r>
              <w:rPr>
                <w:rFonts w:ascii="Liberation Mono" w:hAnsi="Liberation Mono"/>
                <w:color w:val="1E252B"/>
                <w:sz w:val="17"/>
              </w:rPr>
              <w:t xml:space="preserve">    source_type: str</w:t>
            </w:r>
          </w:p>
          <w:p>
            <w:pPr>
              <w:pStyle w:val="CodeBlock"/>
            </w:pPr>
            <w:r>
              <w:rPr>
                <w:rFonts w:ascii="Liberation Mono" w:hAnsi="Liberation Mono"/>
                <w:color w:val="1E252B"/>
                <w:sz w:val="17"/>
              </w:rPr>
              <w:t xml:space="preserve">    authority: Optional[str] = None</w:t>
            </w:r>
          </w:p>
          <w:p>
            <w:pPr>
              <w:pStyle w:val="CodeBlock"/>
            </w:pPr>
            <w:r>
              <w:rPr>
                <w:rFonts w:ascii="Liberation Mono" w:hAnsi="Liberation Mono"/>
                <w:color w:val="1E252B"/>
                <w:sz w:val="17"/>
              </w:rPr>
              <w:t xml:space="preserve">    year: Optional[int] = None</w:t>
            </w:r>
          </w:p>
          <w:p>
            <w:pPr>
              <w:pStyle w:val="CodeBlock"/>
            </w:pPr>
            <w:r>
              <w:rPr>
                <w:rFonts w:ascii="Liberation Mono" w:hAnsi="Liberation Mono"/>
                <w:color w:val="1E252B"/>
                <w:sz w:val="17"/>
              </w:rPr>
              <w:t xml:space="preserve">    text: str</w:t>
            </w:r>
          </w:p>
          <w:p>
            <w:pPr>
              <w:pStyle w:val="CodeBlock"/>
            </w:pPr>
            <w:r>
              <w:rPr>
                <w:rFonts w:ascii="Liberation Mono" w:hAnsi="Liberation Mono"/>
                <w:color w:val="1E252B"/>
                <w:sz w:val="17"/>
              </w:rPr>
              <w:t xml:space="preserve">    retrieval_score: float</w:t>
            </w:r>
          </w:p>
          <w:p>
            <w:pPr>
              <w:pStyle w:val="CodeBlock"/>
            </w:pPr>
            <w:r>
              <w:rPr>
                <w:rFonts w:ascii="Liberation Mono" w:hAnsi="Liberation Mono"/>
                <w:color w:val="1E252B"/>
                <w:sz w:val="17"/>
              </w:rPr>
              <w:t xml:space="preserve">    reranker_score: Optional[float] = None</w:t>
            </w:r>
          </w:p>
          <w:p>
            <w:pPr>
              <w:pStyle w:val="CodeBlock"/>
            </w:pPr>
            <w:r>
              <w:rPr>
                <w:rFonts w:ascii="Liberation Mono" w:hAnsi="Liberation Mono"/>
                <w:color w:val="1E252B"/>
                <w:sz w:val="17"/>
              </w:rPr>
              <w:t xml:space="preserve">    doi: Optional[str] = None</w:t>
            </w:r>
          </w:p>
          <w:p>
            <w:pPr>
              <w:pStyle w:val="CodeBlock"/>
            </w:pPr>
            <w:r>
              <w:rPr>
                <w:rFonts w:ascii="Liberation Mono" w:hAnsi="Liberation Mono"/>
                <w:color w:val="1E252B"/>
                <w:sz w:val="17"/>
              </w:rPr>
              <w:t xml:space="preserve">    pmid: Optional[str] = None</w:t>
            </w:r>
          </w:p>
          <w:p>
            <w:pPr>
              <w:pStyle w:val="CodeBlock"/>
            </w:pPr>
            <w:r>
              <w:rPr>
                <w:rFonts w:ascii="Liberation Mono" w:hAnsi="Liberation Mono"/>
                <w:color w:val="1E252B"/>
                <w:sz w:val="17"/>
              </w:rPr>
            </w:r>
          </w:p>
          <w:p>
            <w:pPr>
              <w:pStyle w:val="CodeBlock"/>
            </w:pPr>
            <w:r>
              <w:rPr>
                <w:rFonts w:ascii="Liberation Mono" w:hAnsi="Liberation Mono"/>
                <w:color w:val="1E252B"/>
                <w:sz w:val="17"/>
              </w:rPr>
              <w:t>class EvidencePack(BaseModel):</w:t>
            </w:r>
          </w:p>
          <w:p>
            <w:pPr>
              <w:pStyle w:val="CodeBlock"/>
            </w:pPr>
            <w:r>
              <w:rPr>
                <w:rFonts w:ascii="Liberation Mono" w:hAnsi="Liberation Mono"/>
                <w:color w:val="1E252B"/>
                <w:sz w:val="17"/>
              </w:rPr>
              <w:t xml:space="preserve">    question: str</w:t>
            </w:r>
          </w:p>
          <w:p>
            <w:pPr>
              <w:pStyle w:val="CodeBlock"/>
            </w:pPr>
            <w:r>
              <w:rPr>
                <w:rFonts w:ascii="Liberation Mono" w:hAnsi="Liberation Mono"/>
                <w:color w:val="1E252B"/>
                <w:sz w:val="17"/>
              </w:rPr>
              <w:t xml:space="preserve">    normalized_question: str</w:t>
            </w:r>
          </w:p>
          <w:p>
            <w:pPr>
              <w:pStyle w:val="CodeBlock"/>
            </w:pPr>
            <w:r>
              <w:rPr>
                <w:rFonts w:ascii="Liberation Mono" w:hAnsi="Liberation Mono"/>
                <w:color w:val="1E252B"/>
                <w:sz w:val="17"/>
              </w:rPr>
              <w:t xml:space="preserve">    language: str</w:t>
            </w:r>
          </w:p>
          <w:p>
            <w:pPr>
              <w:pStyle w:val="CodeBlock"/>
            </w:pPr>
            <w:r>
              <w:rPr>
                <w:rFonts w:ascii="Liberation Mono" w:hAnsi="Liberation Mono"/>
                <w:color w:val="1E252B"/>
                <w:sz w:val="17"/>
              </w:rPr>
              <w:t xml:space="preserve">    intent: str</w:t>
            </w:r>
          </w:p>
          <w:p>
            <w:pPr>
              <w:pStyle w:val="CodeBlock"/>
            </w:pPr>
            <w:r>
              <w:rPr>
                <w:rFonts w:ascii="Liberation Mono" w:hAnsi="Liberation Mono"/>
                <w:color w:val="1E252B"/>
                <w:sz w:val="17"/>
              </w:rPr>
              <w:t xml:space="preserve">    entities: dict = Field(default_factory=dict)</w:t>
            </w:r>
          </w:p>
          <w:p>
            <w:pPr>
              <w:pStyle w:val="CodeBlock"/>
            </w:pPr>
            <w:r>
              <w:rPr>
                <w:rFonts w:ascii="Liberation Mono" w:hAnsi="Liberation Mono"/>
                <w:color w:val="1E252B"/>
                <w:sz w:val="17"/>
              </w:rPr>
              <w:t xml:space="preserve">    risk_level: Literal["LOW", "MODERATE", "HIGH"] = "LOW"</w:t>
            </w:r>
          </w:p>
          <w:p>
            <w:pPr>
              <w:pStyle w:val="CodeBlock"/>
            </w:pPr>
            <w:r>
              <w:rPr>
                <w:rFonts w:ascii="Liberation Mono" w:hAnsi="Liberation Mono"/>
                <w:color w:val="1E252B"/>
                <w:sz w:val="17"/>
              </w:rPr>
              <w:t xml:space="preserve">    evidence: List[EvidenceItem] = Field(default_factory=list)</w:t>
            </w:r>
          </w:p>
          <w:p>
            <w:pPr>
              <w:pStyle w:val="CodeBlock"/>
            </w:pPr>
            <w:r>
              <w:rPr>
                <w:rFonts w:ascii="Liberation Mono" w:hAnsi="Liberation Mono"/>
                <w:color w:val="1E252B"/>
                <w:sz w:val="17"/>
              </w:rPr>
              <w:t xml:space="preserve">    conflicts: List[dict] = Field(default_factory=list)</w:t>
            </w:r>
          </w:p>
          <w:p>
            <w:pPr>
              <w:pStyle w:val="CodeBlock"/>
            </w:pPr>
            <w:r>
              <w:rPr>
                <w:rFonts w:ascii="Liberation Mono" w:hAnsi="Liberation Mono"/>
                <w:color w:val="1E252B"/>
                <w:sz w:val="17"/>
              </w:rPr>
              <w:t xml:space="preserve">    sufficiency: Literal["PENDING", "SUFFICIENT", "INSUFFICIENT", "CONFLICT"] = "PENDING"</w:t>
            </w:r>
          </w:p>
        </w:tc>
      </w:tr>
    </w:tbl>
    <w:p>
      <w:pPr>
        <w:pStyle w:val="Heading1"/>
      </w:pPr>
      <w:r>
        <w:t>21. Ejemplo de orquestador del chat</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async def patient_chat(question: str, language: str):</w:t>
            </w:r>
          </w:p>
          <w:p>
            <w:pPr>
              <w:pStyle w:val="CodeBlock"/>
            </w:pPr>
            <w:r>
              <w:rPr>
                <w:rFonts w:ascii="Liberation Mono" w:hAnsi="Liberation Mono"/>
                <w:color w:val="1E252B"/>
                <w:sz w:val="17"/>
              </w:rPr>
              <w:t xml:space="preserve">    normalized = normalize_question(question)</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safety = clinical_safety_router(normalized)</w:t>
            </w:r>
          </w:p>
          <w:p>
            <w:pPr>
              <w:pStyle w:val="CodeBlock"/>
            </w:pPr>
            <w:r>
              <w:rPr>
                <w:rFonts w:ascii="Liberation Mono" w:hAnsi="Liberation Mono"/>
                <w:color w:val="1E252B"/>
                <w:sz w:val="17"/>
              </w:rPr>
              <w:t xml:space="preserve">    intent = await classify_intent(normalized)</w:t>
            </w:r>
          </w:p>
          <w:p>
            <w:pPr>
              <w:pStyle w:val="CodeBlock"/>
            </w:pPr>
            <w:r>
              <w:rPr>
                <w:rFonts w:ascii="Liberation Mono" w:hAnsi="Liberation Mono"/>
                <w:color w:val="1E252B"/>
                <w:sz w:val="17"/>
              </w:rPr>
              <w:t xml:space="preserve">    entities = await extract_clinical_entities(normalized, intent)</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query_plan = build_query_plan(normalized, intent, entities)</w:t>
            </w:r>
          </w:p>
          <w:p>
            <w:pPr>
              <w:pStyle w:val="CodeBlock"/>
            </w:pPr>
            <w:r>
              <w:rPr>
                <w:rFonts w:ascii="Liberation Mono" w:hAnsi="Liberation Mono"/>
                <w:color w:val="1E252B"/>
                <w:sz w:val="17"/>
              </w:rPr>
              <w:t xml:space="preserve">    evidence = await hybrid_retrieve(query_plan)</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pack = build_evidence_pack(</w:t>
            </w:r>
          </w:p>
          <w:p>
            <w:pPr>
              <w:pStyle w:val="CodeBlock"/>
            </w:pPr>
            <w:r>
              <w:rPr>
                <w:rFonts w:ascii="Liberation Mono" w:hAnsi="Liberation Mono"/>
                <w:color w:val="1E252B"/>
                <w:sz w:val="17"/>
              </w:rPr>
              <w:t xml:space="preserve">        question=question,</w:t>
            </w:r>
          </w:p>
          <w:p>
            <w:pPr>
              <w:pStyle w:val="CodeBlock"/>
            </w:pPr>
            <w:r>
              <w:rPr>
                <w:rFonts w:ascii="Liberation Mono" w:hAnsi="Liberation Mono"/>
                <w:color w:val="1E252B"/>
                <w:sz w:val="17"/>
              </w:rPr>
              <w:t xml:space="preserve">        normalized=normalized,</w:t>
            </w:r>
          </w:p>
          <w:p>
            <w:pPr>
              <w:pStyle w:val="CodeBlock"/>
            </w:pPr>
            <w:r>
              <w:rPr>
                <w:rFonts w:ascii="Liberation Mono" w:hAnsi="Liberation Mono"/>
                <w:color w:val="1E252B"/>
                <w:sz w:val="17"/>
              </w:rPr>
              <w:t xml:space="preserve">        language=language,</w:t>
            </w:r>
          </w:p>
          <w:p>
            <w:pPr>
              <w:pStyle w:val="CodeBlock"/>
            </w:pPr>
            <w:r>
              <w:rPr>
                <w:rFonts w:ascii="Liberation Mono" w:hAnsi="Liberation Mono"/>
                <w:color w:val="1E252B"/>
                <w:sz w:val="17"/>
              </w:rPr>
              <w:t xml:space="preserve">        intent=intent,</w:t>
            </w:r>
          </w:p>
          <w:p>
            <w:pPr>
              <w:pStyle w:val="CodeBlock"/>
            </w:pPr>
            <w:r>
              <w:rPr>
                <w:rFonts w:ascii="Liberation Mono" w:hAnsi="Liberation Mono"/>
                <w:color w:val="1E252B"/>
                <w:sz w:val="17"/>
              </w:rPr>
              <w:t xml:space="preserve">        entities=entities,</w:t>
            </w:r>
          </w:p>
          <w:p>
            <w:pPr>
              <w:pStyle w:val="CodeBlock"/>
            </w:pPr>
            <w:r>
              <w:rPr>
                <w:rFonts w:ascii="Liberation Mono" w:hAnsi="Liberation Mono"/>
                <w:color w:val="1E252B"/>
                <w:sz w:val="17"/>
              </w:rPr>
              <w:t xml:space="preserve">        safety=safety,</w:t>
            </w:r>
          </w:p>
          <w:p>
            <w:pPr>
              <w:pStyle w:val="CodeBlock"/>
            </w:pPr>
            <w:r>
              <w:rPr>
                <w:rFonts w:ascii="Liberation Mono" w:hAnsi="Liberation Mono"/>
                <w:color w:val="1E252B"/>
                <w:sz w:val="17"/>
              </w:rPr>
              <w:t xml:space="preserve">        evidence=evidence,</w:t>
            </w:r>
          </w:p>
          <w:p>
            <w:pPr>
              <w:pStyle w:val="CodeBlock"/>
            </w:pPr>
            <w:r>
              <w:rPr>
                <w:rFonts w:ascii="Liberation Mono" w:hAnsi="Liberation Mono"/>
                <w:color w:val="1E252B"/>
                <w:sz w:val="17"/>
              </w:rPr>
              <w:t xml:space="preserve">    )</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pack = check_contradictions(pack)</w:t>
            </w:r>
          </w:p>
          <w:p>
            <w:pPr>
              <w:pStyle w:val="CodeBlock"/>
            </w:pPr>
            <w:r>
              <w:rPr>
                <w:rFonts w:ascii="Liberation Mono" w:hAnsi="Liberation Mono"/>
                <w:color w:val="1E252B"/>
                <w:sz w:val="17"/>
              </w:rPr>
              <w:t xml:space="preserve">    pack.sufficiency = assess_sufficiency(pack)</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if pack.sufficiency != "SUFFICIENT":</w:t>
            </w:r>
          </w:p>
          <w:p>
            <w:pPr>
              <w:pStyle w:val="CodeBlock"/>
            </w:pPr>
            <w:r>
              <w:rPr>
                <w:rFonts w:ascii="Liberation Mono" w:hAnsi="Liberation Mono"/>
                <w:color w:val="1E252B"/>
                <w:sz w:val="17"/>
              </w:rPr>
              <w:t xml:space="preserve">        return build_abstention_response(pack)</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draft = await generate_grounded_response(pack)</w:t>
            </w:r>
          </w:p>
          <w:p>
            <w:pPr>
              <w:pStyle w:val="CodeBlock"/>
            </w:pPr>
            <w:r>
              <w:rPr>
                <w:rFonts w:ascii="Liberation Mono" w:hAnsi="Liberation Mono"/>
                <w:color w:val="1E252B"/>
                <w:sz w:val="17"/>
              </w:rPr>
              <w:t xml:space="preserve">    claims = extract_claims(draft)</w:t>
            </w:r>
          </w:p>
          <w:p>
            <w:pPr>
              <w:pStyle w:val="CodeBlock"/>
            </w:pPr>
            <w:r>
              <w:rPr>
                <w:rFonts w:ascii="Liberation Mono" w:hAnsi="Liberation Mono"/>
                <w:color w:val="1E252B"/>
                <w:sz w:val="17"/>
              </w:rPr>
              <w:t xml:space="preserve">    verification = verify_claims(claims, pack)</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if requires_second_model(pack, verification):</w:t>
            </w:r>
          </w:p>
          <w:p>
            <w:pPr>
              <w:pStyle w:val="CodeBlock"/>
            </w:pPr>
            <w:r>
              <w:rPr>
                <w:rFonts w:ascii="Liberation Mono" w:hAnsi="Liberation Mono"/>
                <w:color w:val="1E252B"/>
                <w:sz w:val="17"/>
              </w:rPr>
              <w:t xml:space="preserve">        critic = await mistral_critic(draft, pack, verification)</w:t>
            </w:r>
          </w:p>
          <w:p>
            <w:pPr>
              <w:pStyle w:val="CodeBlock"/>
            </w:pPr>
            <w:r>
              <w:rPr>
                <w:rFonts w:ascii="Liberation Mono" w:hAnsi="Liberation Mono"/>
                <w:color w:val="1E252B"/>
                <w:sz w:val="17"/>
              </w:rPr>
              <w:t xml:space="preserve">    else:</w:t>
            </w:r>
          </w:p>
          <w:p>
            <w:pPr>
              <w:pStyle w:val="CodeBlock"/>
            </w:pPr>
            <w:r>
              <w:rPr>
                <w:rFonts w:ascii="Liberation Mono" w:hAnsi="Liberation Mono"/>
                <w:color w:val="1E252B"/>
                <w:sz w:val="17"/>
              </w:rPr>
              <w:t xml:space="preserve">        critic = None</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final = final_safety_gate(draft, verification, critic, pack)</w:t>
            </w:r>
          </w:p>
          <w:p>
            <w:pPr>
              <w:pStyle w:val="CodeBlock"/>
            </w:pPr>
            <w:r>
              <w:rPr>
                <w:rFonts w:ascii="Liberation Mono" w:hAnsi="Liberation Mono"/>
                <w:color w:val="1E252B"/>
                <w:sz w:val="17"/>
              </w:rPr>
              <w:t xml:space="preserve">    audit_log(pack, draft, verification, critic, final)</w:t>
            </w:r>
          </w:p>
          <w:p>
            <w:pPr>
              <w:pStyle w:val="CodeBlock"/>
            </w:pPr>
            <w:r>
              <w:rPr>
                <w:rFonts w:ascii="Liberation Mono" w:hAnsi="Liberation Mono"/>
                <w:color w:val="1E252B"/>
                <w:sz w:val="17"/>
              </w:rPr>
              <w:t xml:space="preserve">    return final</w:t>
            </w:r>
          </w:p>
        </w:tc>
      </w:tr>
    </w:tbl>
    <w:p>
      <w:pPr>
        <w:pStyle w:val="Heading1"/>
      </w:pPr>
      <w:r>
        <w:t>22. Tests que implementaría desde el principio</w:t>
      </w:r>
    </w:p>
    <w:p>
      <w:r>
        <w:rPr>
          <w:rFonts w:ascii="Aptos" w:hAnsi="Aptos"/>
        </w:rPr>
        <w:t>La arquitectura debe acompañarse de tests reproducibles. Los siguientes grupos permiten detectar regresiones cuando cambies prompts, embeddings, modelos o bibliografía.</w:t>
      </w:r>
    </w:p>
    <w:p>
      <w:pPr>
        <w:pStyle w:val="ListBullet"/>
      </w:pPr>
      <w:r>
        <w:rPr>
          <w:rFonts w:ascii="Aptos" w:hAnsi="Aptos"/>
        </w:rPr>
        <w:t>Red flags: cada patrón crítico debe tener positivos y negativos cercanos.</w:t>
      </w:r>
    </w:p>
    <w:p>
      <w:pPr>
        <w:pStyle w:val="ListBullet"/>
      </w:pPr>
      <w:r>
        <w:rPr>
          <w:rFonts w:ascii="Aptos" w:hAnsi="Aptos"/>
        </w:rPr>
        <w:t>Retrieval: comprobar que la fuente esperada aparece en top-k para preguntas conocidas.</w:t>
      </w:r>
    </w:p>
    <w:p>
      <w:pPr>
        <w:pStyle w:val="ListBullet"/>
      </w:pPr>
      <w:r>
        <w:rPr>
          <w:rFonts w:ascii="Aptos" w:hAnsi="Aptos"/>
        </w:rPr>
        <w:t>Reranking: comprobar que el chunk clínicamente específico sube frente a documentos genéricos.</w:t>
      </w:r>
    </w:p>
    <w:p>
      <w:pPr>
        <w:pStyle w:val="ListBullet"/>
      </w:pPr>
      <w:r>
        <w:rPr>
          <w:rFonts w:ascii="Aptos" w:hAnsi="Aptos"/>
        </w:rPr>
        <w:t>Abstención: preguntas sin evidencia suficiente deben producir INSUFFICIENT.</w:t>
      </w:r>
    </w:p>
    <w:p>
      <w:pPr>
        <w:pStyle w:val="ListBullet"/>
      </w:pPr>
      <w:r>
        <w:rPr>
          <w:rFonts w:ascii="Aptos" w:hAnsi="Aptos"/>
        </w:rPr>
        <w:t>Claim verification: introducir deliberadamente un claim falso y comprobar que se bloquea.</w:t>
      </w:r>
    </w:p>
    <w:p>
      <w:pPr>
        <w:pStyle w:val="ListBullet"/>
      </w:pPr>
      <w:r>
        <w:rPr>
          <w:rFonts w:ascii="Aptos" w:hAnsi="Aptos"/>
        </w:rPr>
        <w:t>Contradicciones: fuentes con recomendaciones diferentes deben generar conflicto y no elección silenciosa.</w:t>
      </w:r>
    </w:p>
    <w:p>
      <w:pPr>
        <w:pStyle w:val="ListBullet"/>
      </w:pPr>
      <w:r>
        <w:rPr>
          <w:rFonts w:ascii="Aptos" w:hAnsi="Aptos"/>
        </w:rPr>
        <w:t>Idiomas: misma pregunta en español, catalán, árabe y urdu debe conservar intención y seguridad.</w:t>
      </w:r>
    </w:p>
    <w:p>
      <w:pPr>
        <w:pStyle w:val="ListBullet"/>
      </w:pPr>
      <w:r>
        <w:rPr>
          <w:rFonts w:ascii="Aptos" w:hAnsi="Aptos"/>
        </w:rPr>
        <w:t>Resiliencia: simular caída de CIMA, Llamafile, PubMed o motor SOTA y comprobar degradación controlada.</w:t>
      </w:r>
    </w:p>
    <w:p>
      <w:pPr>
        <w:pStyle w:val="Heading1"/>
      </w:pPr>
      <w:r>
        <w:t>23. Validación para demostrar que es más fiable</w:t>
      </w:r>
    </w:p>
    <w:p>
      <w:r>
        <w:rPr>
          <w:rFonts w:ascii="Aptos" w:hAnsi="Aptos"/>
        </w:rPr>
        <w:t>La mejora arquitectónica debe probarse comparando versiones. Una estrategia útil es congelar un conjunto de preguntas clínicas con respuesta de referencia y fuentes esperadas. El conjunto final de prueba no debe utilizarse para ajustar umbrales.</w:t>
      </w:r>
    </w:p>
    <w:p>
      <w:pPr>
        <w:pStyle w:val="Heading2"/>
      </w:pPr>
      <w:r>
        <w:t>23.1 Categorías de preguntas</w:t>
      </w:r>
    </w:p>
    <w:p>
      <w:pPr>
        <w:pStyle w:val="ListBullet"/>
      </w:pPr>
      <w:r>
        <w:rPr>
          <w:rFonts w:ascii="Aptos" w:hAnsi="Aptos"/>
        </w:rPr>
        <w:t>Contagio y aislamiento.</w:t>
      </w:r>
    </w:p>
    <w:p>
      <w:pPr>
        <w:pStyle w:val="ListBullet"/>
      </w:pPr>
      <w:r>
        <w:rPr>
          <w:rFonts w:ascii="Aptos" w:hAnsi="Aptos"/>
        </w:rPr>
        <w:t>Inicio y administración de medicación.</w:t>
      </w:r>
    </w:p>
    <w:p>
      <w:pPr>
        <w:pStyle w:val="ListBullet"/>
      </w:pPr>
      <w:r>
        <w:rPr>
          <w:rFonts w:ascii="Aptos" w:hAnsi="Aptos"/>
        </w:rPr>
        <w:t>Dosis olvidada, vómito y doble dosis.</w:t>
      </w:r>
    </w:p>
    <w:p>
      <w:pPr>
        <w:pStyle w:val="ListBullet"/>
      </w:pPr>
      <w:r>
        <w:rPr>
          <w:rFonts w:ascii="Aptos" w:hAnsi="Aptos"/>
        </w:rPr>
        <w:t>Efectos adversos y toxicidades específicas.</w:t>
      </w:r>
    </w:p>
    <w:p>
      <w:pPr>
        <w:pStyle w:val="ListBullet"/>
      </w:pPr>
      <w:r>
        <w:rPr>
          <w:rFonts w:ascii="Aptos" w:hAnsi="Aptos"/>
        </w:rPr>
        <w:t>Interacciones.</w:t>
      </w:r>
    </w:p>
    <w:p>
      <w:pPr>
        <w:pStyle w:val="ListBullet"/>
      </w:pPr>
      <w:r>
        <w:rPr>
          <w:rFonts w:ascii="Aptos" w:hAnsi="Aptos"/>
        </w:rPr>
        <w:t>Hepatotoxicidad.</w:t>
      </w:r>
    </w:p>
    <w:p>
      <w:pPr>
        <w:pStyle w:val="ListBullet"/>
      </w:pPr>
      <w:r>
        <w:rPr>
          <w:rFonts w:ascii="Aptos" w:hAnsi="Aptos"/>
        </w:rPr>
        <w:t>Etambutol y síntomas visuales.</w:t>
      </w:r>
    </w:p>
    <w:p>
      <w:pPr>
        <w:pStyle w:val="ListBullet"/>
      </w:pPr>
      <w:r>
        <w:rPr>
          <w:rFonts w:ascii="Aptos" w:hAnsi="Aptos"/>
        </w:rPr>
        <w:t>Prolongación QT y síntomas de alarma.</w:t>
      </w:r>
    </w:p>
    <w:p>
      <w:pPr>
        <w:pStyle w:val="ListBullet"/>
      </w:pPr>
      <w:r>
        <w:rPr>
          <w:rFonts w:ascii="Aptos" w:hAnsi="Aptos"/>
        </w:rPr>
        <w:t>Embarazo y lactancia.</w:t>
      </w:r>
    </w:p>
    <w:p>
      <w:pPr>
        <w:pStyle w:val="ListBullet"/>
      </w:pPr>
      <w:r>
        <w:rPr>
          <w:rFonts w:ascii="Aptos" w:hAnsi="Aptos"/>
        </w:rPr>
        <w:t>Pediatría.</w:t>
      </w:r>
    </w:p>
    <w:p>
      <w:pPr>
        <w:pStyle w:val="ListBullet"/>
      </w:pPr>
      <w:r>
        <w:rPr>
          <w:rFonts w:ascii="Aptos" w:hAnsi="Aptos"/>
        </w:rPr>
        <w:t>Insuficiencia renal/hemodiálisis.</w:t>
      </w:r>
    </w:p>
    <w:p>
      <w:pPr>
        <w:pStyle w:val="ListBullet"/>
      </w:pPr>
      <w:r>
        <w:rPr>
          <w:rFonts w:ascii="Aptos" w:hAnsi="Aptos"/>
        </w:rPr>
        <w:t>TB resistente.</w:t>
      </w:r>
    </w:p>
    <w:p>
      <w:pPr>
        <w:pStyle w:val="ListBullet"/>
      </w:pPr>
      <w:r>
        <w:rPr>
          <w:rFonts w:ascii="Aptos" w:hAnsi="Aptos"/>
        </w:rPr>
        <w:t>Adherencia y abandono.</w:t>
      </w:r>
    </w:p>
    <w:p>
      <w:pPr>
        <w:pStyle w:val="ListBullet"/>
      </w:pPr>
      <w:r>
        <w:rPr>
          <w:rFonts w:ascii="Aptos" w:hAnsi="Aptos"/>
        </w:rPr>
        <w:t>Preguntas ambiguas.</w:t>
      </w:r>
    </w:p>
    <w:p>
      <w:pPr>
        <w:pStyle w:val="ListBullet"/>
      </w:pPr>
      <w:r>
        <w:rPr>
          <w:rFonts w:ascii="Aptos" w:hAnsi="Aptos"/>
        </w:rPr>
        <w:t>Preguntas sin evidencia suficiente.</w:t>
      </w:r>
    </w:p>
    <w:p>
      <w:pPr>
        <w:pStyle w:val="ListBullet"/>
      </w:pPr>
      <w:r>
        <w:rPr>
          <w:rFonts w:ascii="Aptos" w:hAnsi="Aptos"/>
        </w:rPr>
        <w:t>Red flags y casos deliberadamente engañosos.</w:t>
      </w:r>
    </w:p>
    <w:p>
      <w:pPr>
        <w:pStyle w:val="Heading2"/>
      </w:pPr>
      <w:r>
        <w:t>23.2 Métricas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6324F"/>
            <w:vAlign w:val="center"/>
          </w:tcPr>
          <w:p>
            <w:r>
              <w:rPr>
                <w:rFonts w:ascii="Aptos" w:hAnsi="Aptos"/>
                <w:b/>
                <w:color w:val="FFFFFF"/>
                <w:sz w:val="17"/>
              </w:rPr>
              <w:t>Métrica</w:t>
            </w:r>
          </w:p>
        </w:tc>
        <w:tc>
          <w:tcPr>
            <w:tcW w:type="dxa" w:w="3360"/>
            <w:shd w:fill="16324F"/>
            <w:vAlign w:val="center"/>
          </w:tcPr>
          <w:p>
            <w:r>
              <w:rPr>
                <w:rFonts w:ascii="Aptos" w:hAnsi="Aptos"/>
                <w:b/>
                <w:color w:val="FFFFFF"/>
                <w:sz w:val="17"/>
              </w:rPr>
              <w:t>Qué responde</w:t>
            </w:r>
          </w:p>
        </w:tc>
        <w:tc>
          <w:tcPr>
            <w:tcW w:type="dxa" w:w="3360"/>
            <w:shd w:fill="16324F"/>
            <w:vAlign w:val="center"/>
          </w:tcPr>
          <w:p>
            <w:r>
              <w:rPr>
                <w:rFonts w:ascii="Aptos" w:hAnsi="Aptos"/>
                <w:b/>
                <w:color w:val="FFFFFF"/>
                <w:sz w:val="17"/>
              </w:rPr>
              <w:t>Unidad sugerida</w:t>
            </w:r>
          </w:p>
        </w:tc>
      </w:tr>
      <w:tr>
        <w:trPr>
          <w:cantSplit/>
        </w:trPr>
        <w:tc>
          <w:tcPr>
            <w:tcW w:type="dxa" w:w="3360"/>
            <w:vAlign w:val="center"/>
          </w:tcPr>
          <w:p>
            <w:r>
              <w:rPr>
                <w:rFonts w:ascii="Aptos" w:hAnsi="Aptos"/>
                <w:sz w:val="16"/>
              </w:rPr>
              <w:t>Exactitud clínica</w:t>
            </w:r>
          </w:p>
        </w:tc>
        <w:tc>
          <w:tcPr>
            <w:tcW w:type="dxa" w:w="3360"/>
            <w:vAlign w:val="center"/>
          </w:tcPr>
          <w:p>
            <w:r>
              <w:rPr>
                <w:rFonts w:ascii="Aptos" w:hAnsi="Aptos"/>
                <w:sz w:val="16"/>
              </w:rPr>
              <w:t>¿La respuesta es correcta según referencia experta?</w:t>
            </w:r>
          </w:p>
        </w:tc>
        <w:tc>
          <w:tcPr>
            <w:tcW w:type="dxa" w:w="3360"/>
            <w:vAlign w:val="center"/>
          </w:tcPr>
          <w:p>
            <w:r>
              <w:rPr>
                <w:rFonts w:ascii="Aptos" w:hAnsi="Aptos"/>
                <w:sz w:val="16"/>
              </w:rPr>
              <w:t>% / acuerdo experto</w:t>
            </w:r>
          </w:p>
        </w:tc>
      </w:tr>
      <w:tr>
        <w:trPr>
          <w:cantSplit/>
        </w:trPr>
        <w:tc>
          <w:tcPr>
            <w:tcW w:type="dxa" w:w="3360"/>
            <w:vAlign w:val="center"/>
          </w:tcPr>
          <w:p>
            <w:r>
              <w:rPr>
                <w:rFonts w:ascii="Aptos" w:hAnsi="Aptos"/>
                <w:sz w:val="16"/>
              </w:rPr>
              <w:t>Groundedness</w:t>
            </w:r>
          </w:p>
        </w:tc>
        <w:tc>
          <w:tcPr>
            <w:tcW w:type="dxa" w:w="3360"/>
            <w:vAlign w:val="center"/>
          </w:tcPr>
          <w:p>
            <w:r>
              <w:rPr>
                <w:rFonts w:ascii="Aptos" w:hAnsi="Aptos"/>
                <w:sz w:val="16"/>
              </w:rPr>
              <w:t>¿Los claims están apoyados por fuentes recuperadas?</w:t>
            </w:r>
          </w:p>
        </w:tc>
        <w:tc>
          <w:tcPr>
            <w:tcW w:type="dxa" w:w="3360"/>
            <w:vAlign w:val="center"/>
          </w:tcPr>
          <w:p>
            <w:r>
              <w:rPr>
                <w:rFonts w:ascii="Aptos" w:hAnsi="Aptos"/>
                <w:sz w:val="16"/>
              </w:rPr>
              <w:t>% claims supported</w:t>
            </w:r>
          </w:p>
        </w:tc>
      </w:tr>
      <w:tr>
        <w:trPr>
          <w:cantSplit/>
        </w:trPr>
        <w:tc>
          <w:tcPr>
            <w:tcW w:type="dxa" w:w="3360"/>
            <w:vAlign w:val="center"/>
          </w:tcPr>
          <w:p>
            <w:r>
              <w:rPr>
                <w:rFonts w:ascii="Aptos" w:hAnsi="Aptos"/>
                <w:sz w:val="16"/>
              </w:rPr>
              <w:t>Recall@k</w:t>
            </w:r>
          </w:p>
        </w:tc>
        <w:tc>
          <w:tcPr>
            <w:tcW w:type="dxa" w:w="3360"/>
            <w:vAlign w:val="center"/>
          </w:tcPr>
          <w:p>
            <w:r>
              <w:rPr>
                <w:rFonts w:ascii="Aptos" w:hAnsi="Aptos"/>
                <w:sz w:val="16"/>
              </w:rPr>
              <w:t>¿Aparece la fuente correcta en top-k?</w:t>
            </w:r>
          </w:p>
        </w:tc>
        <w:tc>
          <w:tcPr>
            <w:tcW w:type="dxa" w:w="3360"/>
            <w:vAlign w:val="center"/>
          </w:tcPr>
          <w:p>
            <w:r>
              <w:rPr>
                <w:rFonts w:ascii="Aptos" w:hAnsi="Aptos"/>
                <w:sz w:val="16"/>
              </w:rPr>
              <w:t>Recall@5 / Recall@10</w:t>
            </w:r>
          </w:p>
        </w:tc>
      </w:tr>
      <w:tr>
        <w:trPr>
          <w:cantSplit/>
        </w:trPr>
        <w:tc>
          <w:tcPr>
            <w:tcW w:type="dxa" w:w="3360"/>
            <w:vAlign w:val="center"/>
          </w:tcPr>
          <w:p>
            <w:r>
              <w:rPr>
                <w:rFonts w:ascii="Aptos" w:hAnsi="Aptos"/>
                <w:sz w:val="16"/>
              </w:rPr>
              <w:t>Red-flag sensitivity</w:t>
            </w:r>
          </w:p>
        </w:tc>
        <w:tc>
          <w:tcPr>
            <w:tcW w:type="dxa" w:w="3360"/>
            <w:vAlign w:val="center"/>
          </w:tcPr>
          <w:p>
            <w:r>
              <w:rPr>
                <w:rFonts w:ascii="Aptos" w:hAnsi="Aptos"/>
                <w:sz w:val="16"/>
              </w:rPr>
              <w:t>¿Detecta las situaciones peligrosas?</w:t>
            </w:r>
          </w:p>
        </w:tc>
        <w:tc>
          <w:tcPr>
            <w:tcW w:type="dxa" w:w="3360"/>
            <w:vAlign w:val="center"/>
          </w:tcPr>
          <w:p>
            <w:r>
              <w:rPr>
                <w:rFonts w:ascii="Aptos" w:hAnsi="Aptos"/>
                <w:sz w:val="16"/>
              </w:rPr>
              <w:t>Sensibilidad</w:t>
            </w:r>
          </w:p>
        </w:tc>
      </w:tr>
      <w:tr>
        <w:trPr>
          <w:cantSplit/>
        </w:trPr>
        <w:tc>
          <w:tcPr>
            <w:tcW w:type="dxa" w:w="3360"/>
            <w:vAlign w:val="center"/>
          </w:tcPr>
          <w:p>
            <w:r>
              <w:rPr>
                <w:rFonts w:ascii="Aptos" w:hAnsi="Aptos"/>
                <w:sz w:val="16"/>
              </w:rPr>
              <w:t>Red-flag specificity</w:t>
            </w:r>
          </w:p>
        </w:tc>
        <w:tc>
          <w:tcPr>
            <w:tcW w:type="dxa" w:w="3360"/>
            <w:vAlign w:val="center"/>
          </w:tcPr>
          <w:p>
            <w:r>
              <w:rPr>
                <w:rFonts w:ascii="Aptos" w:hAnsi="Aptos"/>
                <w:sz w:val="16"/>
              </w:rPr>
              <w:t>¿Evita alertar todo?</w:t>
            </w:r>
          </w:p>
        </w:tc>
        <w:tc>
          <w:tcPr>
            <w:tcW w:type="dxa" w:w="3360"/>
            <w:vAlign w:val="center"/>
          </w:tcPr>
          <w:p>
            <w:r>
              <w:rPr>
                <w:rFonts w:ascii="Aptos" w:hAnsi="Aptos"/>
                <w:sz w:val="16"/>
              </w:rPr>
              <w:t>Especificidad</w:t>
            </w:r>
          </w:p>
        </w:tc>
      </w:tr>
      <w:tr>
        <w:trPr>
          <w:cantSplit/>
        </w:trPr>
        <w:tc>
          <w:tcPr>
            <w:tcW w:type="dxa" w:w="3360"/>
            <w:vAlign w:val="center"/>
          </w:tcPr>
          <w:p>
            <w:r>
              <w:rPr>
                <w:rFonts w:ascii="Aptos" w:hAnsi="Aptos"/>
                <w:sz w:val="16"/>
              </w:rPr>
              <w:t>Abstención apropiada</w:t>
            </w:r>
          </w:p>
        </w:tc>
        <w:tc>
          <w:tcPr>
            <w:tcW w:type="dxa" w:w="3360"/>
            <w:vAlign w:val="center"/>
          </w:tcPr>
          <w:p>
            <w:r>
              <w:rPr>
                <w:rFonts w:ascii="Aptos" w:hAnsi="Aptos"/>
                <w:sz w:val="16"/>
              </w:rPr>
              <w:t>¿Se abstiene cuando debe?</w:t>
            </w:r>
          </w:p>
        </w:tc>
        <w:tc>
          <w:tcPr>
            <w:tcW w:type="dxa" w:w="3360"/>
            <w:vAlign w:val="center"/>
          </w:tcPr>
          <w:p>
            <w:r>
              <w:rPr>
                <w:rFonts w:ascii="Aptos" w:hAnsi="Aptos"/>
                <w:sz w:val="16"/>
              </w:rPr>
              <w:t>% correcto</w:t>
            </w:r>
          </w:p>
        </w:tc>
      </w:tr>
      <w:tr>
        <w:trPr>
          <w:cantSplit/>
        </w:trPr>
        <w:tc>
          <w:tcPr>
            <w:tcW w:type="dxa" w:w="3360"/>
            <w:vAlign w:val="center"/>
          </w:tcPr>
          <w:p>
            <w:r>
              <w:rPr>
                <w:rFonts w:ascii="Aptos" w:hAnsi="Aptos"/>
                <w:sz w:val="16"/>
              </w:rPr>
              <w:t>Citation accuracy</w:t>
            </w:r>
          </w:p>
        </w:tc>
        <w:tc>
          <w:tcPr>
            <w:tcW w:type="dxa" w:w="3360"/>
            <w:vAlign w:val="center"/>
          </w:tcPr>
          <w:p>
            <w:r>
              <w:rPr>
                <w:rFonts w:ascii="Aptos" w:hAnsi="Aptos"/>
                <w:sz w:val="16"/>
              </w:rPr>
              <w:t>¿La referencia realmente sustenta el claim?</w:t>
            </w:r>
          </w:p>
        </w:tc>
        <w:tc>
          <w:tcPr>
            <w:tcW w:type="dxa" w:w="3360"/>
            <w:vAlign w:val="center"/>
          </w:tcPr>
          <w:p>
            <w:r>
              <w:rPr>
                <w:rFonts w:ascii="Aptos" w:hAnsi="Aptos"/>
                <w:sz w:val="16"/>
              </w:rPr>
              <w:t>%</w:t>
            </w:r>
          </w:p>
        </w:tc>
      </w:tr>
      <w:tr>
        <w:trPr>
          <w:cantSplit/>
        </w:trPr>
        <w:tc>
          <w:tcPr>
            <w:tcW w:type="dxa" w:w="3360"/>
            <w:vAlign w:val="center"/>
          </w:tcPr>
          <w:p>
            <w:r>
              <w:rPr>
                <w:rFonts w:ascii="Aptos" w:hAnsi="Aptos"/>
                <w:sz w:val="16"/>
              </w:rPr>
              <w:t>Hallucination rate</w:t>
            </w:r>
          </w:p>
        </w:tc>
        <w:tc>
          <w:tcPr>
            <w:tcW w:type="dxa" w:w="3360"/>
            <w:vAlign w:val="center"/>
          </w:tcPr>
          <w:p>
            <w:r>
              <w:rPr>
                <w:rFonts w:ascii="Aptos" w:hAnsi="Aptos"/>
                <w:sz w:val="16"/>
              </w:rPr>
              <w:t>Claims clínicos no respaldados</w:t>
            </w:r>
          </w:p>
        </w:tc>
        <w:tc>
          <w:tcPr>
            <w:tcW w:type="dxa" w:w="3360"/>
            <w:vAlign w:val="center"/>
          </w:tcPr>
          <w:p>
            <w:r>
              <w:rPr>
                <w:rFonts w:ascii="Aptos" w:hAnsi="Aptos"/>
                <w:sz w:val="16"/>
              </w:rPr>
              <w:t>%</w:t>
            </w:r>
          </w:p>
        </w:tc>
      </w:tr>
      <w:tr>
        <w:trPr>
          <w:cantSplit/>
        </w:trPr>
        <w:tc>
          <w:tcPr>
            <w:tcW w:type="dxa" w:w="3360"/>
            <w:vAlign w:val="center"/>
          </w:tcPr>
          <w:p>
            <w:r>
              <w:rPr>
                <w:rFonts w:ascii="Aptos" w:hAnsi="Aptos"/>
                <w:sz w:val="16"/>
              </w:rPr>
              <w:t>Latency</w:t>
            </w:r>
          </w:p>
        </w:tc>
        <w:tc>
          <w:tcPr>
            <w:tcW w:type="dxa" w:w="3360"/>
            <w:vAlign w:val="center"/>
          </w:tcPr>
          <w:p>
            <w:r>
              <w:rPr>
                <w:rFonts w:ascii="Aptos" w:hAnsi="Aptos"/>
                <w:sz w:val="16"/>
              </w:rPr>
              <w:t>Tiempo de respuesta</w:t>
            </w:r>
          </w:p>
        </w:tc>
        <w:tc>
          <w:tcPr>
            <w:tcW w:type="dxa" w:w="3360"/>
            <w:vAlign w:val="center"/>
          </w:tcPr>
          <w:p>
            <w:r>
              <w:rPr>
                <w:rFonts w:ascii="Aptos" w:hAnsi="Aptos"/>
                <w:sz w:val="16"/>
              </w:rPr>
              <w:t>ms / s</w:t>
            </w:r>
          </w:p>
        </w:tc>
      </w:tr>
    </w:tbl>
    <w:p>
      <w:pPr>
        <w:pStyle w:val="Heading2"/>
      </w:pPr>
      <w:r>
        <w:t>23.3 Comparación A/B de arquitectura</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Versión A = arquitectura actual</w:t>
            </w:r>
          </w:p>
          <w:p>
            <w:pPr>
              <w:pStyle w:val="CodeBlock"/>
            </w:pPr>
            <w:r>
              <w:rPr>
                <w:rFonts w:ascii="Liberation Mono" w:hAnsi="Liberation Mono"/>
                <w:color w:val="1E252B"/>
                <w:sz w:val="17"/>
              </w:rPr>
              <w:t>Versión B = safety router + hybrid retrieval + Evidence Pack + abstention + claim verification</w:t>
            </w:r>
          </w:p>
          <w:p>
            <w:pPr>
              <w:pStyle w:val="CodeBlock"/>
            </w:pPr>
            <w:r>
              <w:rPr>
                <w:rFonts w:ascii="Liberation Mono" w:hAnsi="Liberation Mono"/>
                <w:color w:val="1E252B"/>
                <w:sz w:val="17"/>
              </w:rPr>
            </w:r>
          </w:p>
          <w:p>
            <w:pPr>
              <w:pStyle w:val="CodeBlock"/>
            </w:pPr>
            <w:r>
              <w:rPr>
                <w:rFonts w:ascii="Liberation Mono" w:hAnsi="Liberation Mono"/>
                <w:color w:val="1E252B"/>
                <w:sz w:val="17"/>
              </w:rPr>
              <w:t>Mismo conjunto de preguntas</w:t>
            </w:r>
          </w:p>
          <w:p>
            <w:pPr>
              <w:pStyle w:val="CodeBlock"/>
            </w:pPr>
            <w:r>
              <w:rPr>
                <w:rFonts w:ascii="Liberation Mono" w:hAnsi="Liberation Mono"/>
                <w:color w:val="1E252B"/>
                <w:sz w:val="17"/>
              </w:rPr>
              <w:t>Misma bibliografía congelada</w:t>
            </w:r>
          </w:p>
          <w:p>
            <w:pPr>
              <w:pStyle w:val="CodeBlock"/>
            </w:pPr>
            <w:r>
              <w:rPr>
                <w:rFonts w:ascii="Liberation Mono" w:hAnsi="Liberation Mono"/>
                <w:color w:val="1E252B"/>
                <w:sz w:val="17"/>
              </w:rPr>
              <w:t>Mismos modelos cuando sea posible</w:t>
            </w:r>
          </w:p>
          <w:p>
            <w:pPr>
              <w:pStyle w:val="CodeBlock"/>
            </w:pPr>
            <w:r>
              <w:rPr>
                <w:rFonts w:ascii="Liberation Mono" w:hAnsi="Liberation Mono"/>
                <w:color w:val="1E252B"/>
                <w:sz w:val="17"/>
              </w:rPr>
              <w:t>Mismo criterio experto</w:t>
            </w:r>
          </w:p>
          <w:p>
            <w:pPr>
              <w:pStyle w:val="CodeBlock"/>
            </w:pPr>
            <w:r>
              <w:rPr>
                <w:rFonts w:ascii="Liberation Mono" w:hAnsi="Liberation Mono"/>
                <w:color w:val="1E252B"/>
                <w:sz w:val="17"/>
              </w:rPr>
            </w:r>
          </w:p>
          <w:p>
            <w:pPr>
              <w:pStyle w:val="CodeBlock"/>
            </w:pPr>
            <w:r>
              <w:rPr>
                <w:rFonts w:ascii="Liberation Mono" w:hAnsi="Liberation Mono"/>
                <w:color w:val="1E252B"/>
                <w:sz w:val="17"/>
              </w:rPr>
              <w:t>Comparar:</w:t>
            </w:r>
          </w:p>
          <w:p>
            <w:pPr>
              <w:pStyle w:val="CodeBlock"/>
            </w:pPr>
            <w:r>
              <w:rPr>
                <w:rFonts w:ascii="Liberation Mono" w:hAnsi="Liberation Mono"/>
                <w:color w:val="1E252B"/>
                <w:sz w:val="17"/>
              </w:rPr>
              <w:t>- exactitud</w:t>
            </w:r>
          </w:p>
          <w:p>
            <w:pPr>
              <w:pStyle w:val="CodeBlock"/>
            </w:pPr>
            <w:r>
              <w:rPr>
                <w:rFonts w:ascii="Liberation Mono" w:hAnsi="Liberation Mono"/>
                <w:color w:val="1E252B"/>
                <w:sz w:val="17"/>
              </w:rPr>
              <w:t>- hallucination rate</w:t>
            </w:r>
          </w:p>
          <w:p>
            <w:pPr>
              <w:pStyle w:val="CodeBlock"/>
            </w:pPr>
            <w:r>
              <w:rPr>
                <w:rFonts w:ascii="Liberation Mono" w:hAnsi="Liberation Mono"/>
                <w:color w:val="1E252B"/>
                <w:sz w:val="17"/>
              </w:rPr>
              <w:t>- sensibilidad de red flags</w:t>
            </w:r>
          </w:p>
          <w:p>
            <w:pPr>
              <w:pStyle w:val="CodeBlock"/>
            </w:pPr>
            <w:r>
              <w:rPr>
                <w:rFonts w:ascii="Liberation Mono" w:hAnsi="Liberation Mono"/>
                <w:color w:val="1E252B"/>
                <w:sz w:val="17"/>
              </w:rPr>
              <w:t>- groundedness</w:t>
            </w:r>
          </w:p>
          <w:p>
            <w:pPr>
              <w:pStyle w:val="CodeBlock"/>
            </w:pPr>
            <w:r>
              <w:rPr>
                <w:rFonts w:ascii="Liberation Mono" w:hAnsi="Liberation Mono"/>
                <w:color w:val="1E252B"/>
                <w:sz w:val="17"/>
              </w:rPr>
              <w:t>- recall@k</w:t>
            </w:r>
          </w:p>
          <w:p>
            <w:pPr>
              <w:pStyle w:val="CodeBlock"/>
            </w:pPr>
            <w:r>
              <w:rPr>
                <w:rFonts w:ascii="Liberation Mono" w:hAnsi="Liberation Mono"/>
                <w:color w:val="1E252B"/>
                <w:sz w:val="17"/>
              </w:rPr>
              <w:t>- abstención apropiada</w:t>
            </w:r>
          </w:p>
          <w:p>
            <w:pPr>
              <w:pStyle w:val="CodeBlock"/>
            </w:pPr>
            <w:r>
              <w:rPr>
                <w:rFonts w:ascii="Liberation Mono" w:hAnsi="Liberation Mono"/>
                <w:color w:val="1E252B"/>
                <w:sz w:val="17"/>
              </w:rPr>
              <w:t>- latencia</w:t>
            </w:r>
          </w:p>
        </w:tc>
      </w:tr>
    </w:tbl>
    <w:p>
      <w:pPr>
        <w:pStyle w:val="Heading1"/>
      </w:pPr>
      <w:r>
        <w:t>24. Resiliencia y fallos de servicios</w:t>
      </w:r>
    </w:p>
    <w:p>
      <w:r>
        <w:rPr>
          <w:rFonts w:ascii="Aptos" w:hAnsi="Aptos"/>
        </w:rPr>
        <w:t>Con siete servicios locales, el sistema debe definir qué ocurre si uno falla. El dashboard puede pasar de ser un monitor visual a alimentar decisiones de degradación controlada.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A33A3A"/>
            <w:vAlign w:val="center"/>
          </w:tcPr>
          <w:p>
            <w:r>
              <w:rPr>
                <w:rFonts w:ascii="Aptos" w:hAnsi="Aptos"/>
                <w:b/>
                <w:color w:val="FFFFFF"/>
                <w:sz w:val="17"/>
              </w:rPr>
              <w:t>Fallo</w:t>
            </w:r>
          </w:p>
        </w:tc>
        <w:tc>
          <w:tcPr>
            <w:tcW w:type="dxa" w:w="3360"/>
            <w:shd w:fill="A33A3A"/>
            <w:vAlign w:val="center"/>
          </w:tcPr>
          <w:p>
            <w:r>
              <w:rPr>
                <w:rFonts w:ascii="Aptos" w:hAnsi="Aptos"/>
                <w:b/>
                <w:color w:val="FFFFFF"/>
                <w:sz w:val="17"/>
              </w:rPr>
              <w:t>Comportamiento recomendado</w:t>
            </w:r>
          </w:p>
        </w:tc>
        <w:tc>
          <w:tcPr>
            <w:tcW w:type="dxa" w:w="3360"/>
            <w:shd w:fill="A33A3A"/>
            <w:vAlign w:val="center"/>
          </w:tcPr>
          <w:p>
            <w:r>
              <w:rPr>
                <w:rFonts w:ascii="Aptos" w:hAnsi="Aptos"/>
                <w:b/>
                <w:color w:val="FFFFFF"/>
                <w:sz w:val="17"/>
              </w:rPr>
              <w:t>¿Responder?</w:t>
            </w:r>
          </w:p>
        </w:tc>
      </w:tr>
      <w:tr>
        <w:trPr>
          <w:cantSplit/>
        </w:trPr>
        <w:tc>
          <w:tcPr>
            <w:tcW w:type="dxa" w:w="3360"/>
            <w:vAlign w:val="center"/>
          </w:tcPr>
          <w:p>
            <w:r>
              <w:rPr>
                <w:rFonts w:ascii="Aptos" w:hAnsi="Aptos"/>
                <w:sz w:val="16"/>
              </w:rPr>
              <w:t>Llamafile caído</w:t>
            </w:r>
          </w:p>
        </w:tc>
        <w:tc>
          <w:tcPr>
            <w:tcW w:type="dxa" w:w="3360"/>
            <w:vAlign w:val="center"/>
          </w:tcPr>
          <w:p>
            <w:r>
              <w:rPr>
                <w:rFonts w:ascii="Aptos" w:hAnsi="Aptos"/>
                <w:sz w:val="16"/>
              </w:rPr>
              <w:t>Omitir segundo crítico; registrar degraded_mode</w:t>
            </w:r>
          </w:p>
        </w:tc>
        <w:tc>
          <w:tcPr>
            <w:tcW w:type="dxa" w:w="3360"/>
            <w:vAlign w:val="center"/>
          </w:tcPr>
          <w:p>
            <w:r>
              <w:rPr>
                <w:rFonts w:ascii="Aptos" w:hAnsi="Aptos"/>
                <w:sz w:val="16"/>
              </w:rPr>
              <w:t>Sí si riesgo bajo y verificaciones pasan</w:t>
            </w:r>
          </w:p>
        </w:tc>
      </w:tr>
      <w:tr>
        <w:trPr>
          <w:cantSplit/>
        </w:trPr>
        <w:tc>
          <w:tcPr>
            <w:tcW w:type="dxa" w:w="3360"/>
            <w:vAlign w:val="center"/>
          </w:tcPr>
          <w:p>
            <w:r>
              <w:rPr>
                <w:rFonts w:ascii="Aptos" w:hAnsi="Aptos"/>
                <w:sz w:val="16"/>
              </w:rPr>
              <w:t>PubMed Live caído</w:t>
            </w:r>
          </w:p>
        </w:tc>
        <w:tc>
          <w:tcPr>
            <w:tcW w:type="dxa" w:w="3360"/>
            <w:vAlign w:val="center"/>
          </w:tcPr>
          <w:p>
            <w:r>
              <w:rPr>
                <w:rFonts w:ascii="Aptos" w:hAnsi="Aptos"/>
                <w:sz w:val="16"/>
              </w:rPr>
              <w:t>Usar bibliografía local</w:t>
            </w:r>
          </w:p>
        </w:tc>
        <w:tc>
          <w:tcPr>
            <w:tcW w:type="dxa" w:w="3360"/>
            <w:vAlign w:val="center"/>
          </w:tcPr>
          <w:p>
            <w:r>
              <w:rPr>
                <w:rFonts w:ascii="Aptos" w:hAnsi="Aptos"/>
                <w:sz w:val="16"/>
              </w:rPr>
              <w:t>Sí si evidencia local suficiente</w:t>
            </w:r>
          </w:p>
        </w:tc>
      </w:tr>
      <w:tr>
        <w:trPr>
          <w:cantSplit/>
        </w:trPr>
        <w:tc>
          <w:tcPr>
            <w:tcW w:type="dxa" w:w="3360"/>
            <w:vAlign w:val="center"/>
          </w:tcPr>
          <w:p>
            <w:r>
              <w:rPr>
                <w:rFonts w:ascii="Aptos" w:hAnsi="Aptos"/>
                <w:sz w:val="16"/>
              </w:rPr>
              <w:t>CIMA caído</w:t>
            </w:r>
          </w:p>
        </w:tc>
        <w:tc>
          <w:tcPr>
            <w:tcW w:type="dxa" w:w="3360"/>
            <w:vAlign w:val="center"/>
          </w:tcPr>
          <w:p>
            <w:r>
              <w:rPr>
                <w:rFonts w:ascii="Aptos" w:hAnsi="Aptos"/>
                <w:sz w:val="16"/>
              </w:rPr>
              <w:t>No usar una ruta farmacológica que dependa de consulta live; usar copia validada si existe</w:t>
            </w:r>
          </w:p>
        </w:tc>
        <w:tc>
          <w:tcPr>
            <w:tcW w:type="dxa" w:w="3360"/>
            <w:vAlign w:val="center"/>
          </w:tcPr>
          <w:p>
            <w:r>
              <w:rPr>
                <w:rFonts w:ascii="Aptos" w:hAnsi="Aptos"/>
                <w:sz w:val="16"/>
              </w:rPr>
              <w:t>Depende de evidencia disponible</w:t>
            </w:r>
          </w:p>
        </w:tc>
      </w:tr>
      <w:tr>
        <w:trPr>
          <w:cantSplit/>
        </w:trPr>
        <w:tc>
          <w:tcPr>
            <w:tcW w:type="dxa" w:w="3360"/>
            <w:vAlign w:val="center"/>
          </w:tcPr>
          <w:p>
            <w:r>
              <w:rPr>
                <w:rFonts w:ascii="Aptos" w:hAnsi="Aptos"/>
                <w:sz w:val="16"/>
              </w:rPr>
              <w:t>SOTA caído</w:t>
            </w:r>
          </w:p>
        </w:tc>
        <w:tc>
          <w:tcPr>
            <w:tcW w:type="dxa" w:w="3360"/>
            <w:vAlign w:val="center"/>
          </w:tcPr>
          <w:p>
            <w:r>
              <w:rPr>
                <w:rFonts w:ascii="Aptos" w:hAnsi="Aptos"/>
                <w:sz w:val="16"/>
              </w:rPr>
              <w:t>Usar Chroma + FTS5 y marcar degradación</w:t>
            </w:r>
          </w:p>
        </w:tc>
        <w:tc>
          <w:tcPr>
            <w:tcW w:type="dxa" w:w="3360"/>
            <w:vAlign w:val="center"/>
          </w:tcPr>
          <w:p>
            <w:r>
              <w:rPr>
                <w:rFonts w:ascii="Aptos" w:hAnsi="Aptos"/>
                <w:sz w:val="16"/>
              </w:rPr>
              <w:t>Sí con umbrales más estrictos</w:t>
            </w:r>
          </w:p>
        </w:tc>
      </w:tr>
      <w:tr>
        <w:trPr>
          <w:cantSplit/>
        </w:trPr>
        <w:tc>
          <w:tcPr>
            <w:tcW w:type="dxa" w:w="3360"/>
            <w:vAlign w:val="center"/>
          </w:tcPr>
          <w:p>
            <w:r>
              <w:rPr>
                <w:rFonts w:ascii="Aptos" w:hAnsi="Aptos"/>
                <w:sz w:val="16"/>
              </w:rPr>
              <w:t>Ollama caído</w:t>
            </w:r>
          </w:p>
        </w:tc>
        <w:tc>
          <w:tcPr>
            <w:tcW w:type="dxa" w:w="3360"/>
            <w:vAlign w:val="center"/>
          </w:tcPr>
          <w:p>
            <w:r>
              <w:rPr>
                <w:rFonts w:ascii="Aptos" w:hAnsi="Aptos"/>
                <w:sz w:val="16"/>
              </w:rPr>
              <w:t>No hay generador principal</w:t>
            </w:r>
          </w:p>
        </w:tc>
        <w:tc>
          <w:tcPr>
            <w:tcW w:type="dxa" w:w="3360"/>
            <w:vAlign w:val="center"/>
          </w:tcPr>
          <w:p>
            <w:r>
              <w:rPr>
                <w:rFonts w:ascii="Aptos" w:hAnsi="Aptos"/>
                <w:sz w:val="16"/>
              </w:rPr>
              <w:t>No para chat generativo</w:t>
            </w:r>
          </w:p>
        </w:tc>
      </w:tr>
      <w:tr>
        <w:trPr>
          <w:cantSplit/>
        </w:trPr>
        <w:tc>
          <w:tcPr>
            <w:tcW w:type="dxa" w:w="3360"/>
            <w:vAlign w:val="center"/>
          </w:tcPr>
          <w:p>
            <w:r>
              <w:rPr>
                <w:rFonts w:ascii="Aptos" w:hAnsi="Aptos"/>
                <w:sz w:val="16"/>
              </w:rPr>
              <w:t>Bibliografía API caída</w:t>
            </w:r>
          </w:p>
        </w:tc>
        <w:tc>
          <w:tcPr>
            <w:tcW w:type="dxa" w:w="3360"/>
            <w:vAlign w:val="center"/>
          </w:tcPr>
          <w:p>
            <w:r>
              <w:rPr>
                <w:rFonts w:ascii="Aptos" w:hAnsi="Aptos"/>
                <w:sz w:val="16"/>
              </w:rPr>
              <w:t>Usar índices locales disponibles</w:t>
            </w:r>
          </w:p>
        </w:tc>
        <w:tc>
          <w:tcPr>
            <w:tcW w:type="dxa" w:w="3360"/>
            <w:vAlign w:val="center"/>
          </w:tcPr>
          <w:p>
            <w:r>
              <w:rPr>
                <w:rFonts w:ascii="Aptos" w:hAnsi="Aptos"/>
                <w:sz w:val="16"/>
              </w:rPr>
              <w:t>Solo si Evidence Pack sigue siendo suficiente</w:t>
            </w:r>
          </w:p>
        </w:tc>
      </w:tr>
    </w:tbl>
    <w:p>
      <w:pPr>
        <w:pStyle w:val="Heading1"/>
      </w:pPr>
      <w:r>
        <w:t>25. Cambios concretos sobre tu flujo actual</w:t>
      </w:r>
    </w:p>
    <w:p>
      <w:r>
        <w:rPr>
          <w:rFonts w:ascii="Aptos" w:hAnsi="Aptos"/>
        </w:rPr>
        <w:t>Sobre el diagrama que has construido, realizaría estos cambios directos:</w:t>
      </w:r>
    </w:p>
    <w:p>
      <w:r>
        <w:rPr>
          <w:rFonts w:ascii="Aptos" w:hAnsi="Aptos"/>
          <w:b/>
          <w:color w:val="245C8A"/>
        </w:rPr>
        <w:t xml:space="preserve">Mover Alert: </w:t>
      </w:r>
      <w:r>
        <w:rPr>
          <w:rFonts w:ascii="Aptos" w:hAnsi="Aptos"/>
        </w:rPr>
        <w:t>De Hybrid → Alert a ChatAPI → SafetyRouter → AlertRules antes de Intent.</w:t>
      </w:r>
    </w:p>
    <w:p>
      <w:r>
        <w:rPr>
          <w:rFonts w:ascii="Aptos" w:hAnsi="Aptos"/>
          <w:b/>
          <w:color w:val="245C8A"/>
        </w:rPr>
        <w:t xml:space="preserve">Convertir SOTA en retrieval principal: </w:t>
      </w:r>
      <w:r>
        <w:rPr>
          <w:rFonts w:ascii="Aptos" w:hAnsi="Aptos"/>
        </w:rPr>
        <w:t>Retrieve deja de consultar solo Chroma y pasa a un HybridRetriever con BM25 + Chroma + FTS5.</w:t>
      </w:r>
    </w:p>
    <w:p>
      <w:r>
        <w:rPr>
          <w:rFonts w:ascii="Aptos" w:hAnsi="Aptos"/>
          <w:b/>
          <w:color w:val="245C8A"/>
        </w:rPr>
        <w:t xml:space="preserve">Añadir Entity Extraction: </w:t>
      </w:r>
      <w:r>
        <w:rPr>
          <w:rFonts w:ascii="Aptos" w:hAnsi="Aptos"/>
        </w:rPr>
        <w:t>Intent → ClinicalEntities → QueryPlan.</w:t>
      </w:r>
    </w:p>
    <w:p>
      <w:r>
        <w:rPr>
          <w:rFonts w:ascii="Aptos" w:hAnsi="Aptos"/>
          <w:b/>
          <w:color w:val="245C8A"/>
        </w:rPr>
        <w:t xml:space="preserve">Añadir Evidence Router: </w:t>
      </w:r>
      <w:r>
        <w:rPr>
          <w:rFonts w:ascii="Aptos" w:hAnsi="Aptos"/>
        </w:rPr>
        <w:t>Decide CIMA, MasterDB, PubMed, guías y colecciones antes de recuperar.</w:t>
      </w:r>
    </w:p>
    <w:p>
      <w:r>
        <w:rPr>
          <w:rFonts w:ascii="Aptos" w:hAnsi="Aptos"/>
          <w:b/>
          <w:color w:val="245C8A"/>
        </w:rPr>
        <w:t xml:space="preserve">Añadir Evidence Pack: </w:t>
      </w:r>
      <w:r>
        <w:rPr>
          <w:rFonts w:ascii="Aptos" w:hAnsi="Aptos"/>
        </w:rPr>
        <w:t>Todo lo recuperado se normaliza antes de Generate.</w:t>
      </w:r>
    </w:p>
    <w:p>
      <w:r>
        <w:rPr>
          <w:rFonts w:ascii="Aptos" w:hAnsi="Aptos"/>
          <w:b/>
          <w:color w:val="245C8A"/>
        </w:rPr>
        <w:t xml:space="preserve">Añadir Sufficiency: </w:t>
      </w:r>
      <w:r>
        <w:rPr>
          <w:rFonts w:ascii="Aptos" w:hAnsi="Aptos"/>
        </w:rPr>
        <w:t>Generate solo se ejecuta si la evidencia cumple las reglas.</w:t>
      </w:r>
    </w:p>
    <w:p>
      <w:r>
        <w:rPr>
          <w:rFonts w:ascii="Aptos" w:hAnsi="Aptos"/>
          <w:b/>
          <w:color w:val="245C8A"/>
        </w:rPr>
        <w:t xml:space="preserve">Modificar Verify: </w:t>
      </w:r>
      <w:r>
        <w:rPr>
          <w:rFonts w:ascii="Aptos" w:hAnsi="Aptos"/>
        </w:rPr>
        <w:t>verify_claims_with_llm pasa a claim-level verification contra source_id.</w:t>
      </w:r>
    </w:p>
    <w:p>
      <w:r>
        <w:rPr>
          <w:rFonts w:ascii="Aptos" w:hAnsi="Aptos"/>
          <w:b/>
          <w:color w:val="245C8A"/>
        </w:rPr>
        <w:t xml:space="preserve">Modificar Consensus: </w:t>
      </w:r>
      <w:r>
        <w:rPr>
          <w:rFonts w:ascii="Aptos" w:hAnsi="Aptos"/>
        </w:rPr>
        <w:t>Mistral se ejecuta selectivamente; Llama deja de ser juez único.</w:t>
      </w:r>
    </w:p>
    <w:p>
      <w:r>
        <w:rPr>
          <w:rFonts w:ascii="Aptos" w:hAnsi="Aptos"/>
          <w:b/>
          <w:color w:val="245C8A"/>
        </w:rPr>
        <w:t xml:space="preserve">Añadir Final Safety Gate: </w:t>
      </w:r>
      <w:r>
        <w:rPr>
          <w:rFonts w:ascii="Aptos" w:hAnsi="Aptos"/>
        </w:rPr>
        <w:t>Última barrera antes de entregar la respuesta.</w:t>
      </w:r>
    </w:p>
    <w:p>
      <w:r>
        <w:rPr>
          <w:rFonts w:ascii="Aptos" w:hAnsi="Aptos"/>
          <w:b/>
          <w:color w:val="245C8A"/>
        </w:rPr>
        <w:t xml:space="preserve">Ampliar Panel: </w:t>
      </w:r>
      <w:r>
        <w:rPr>
          <w:rFonts w:ascii="Aptos" w:hAnsi="Aptos"/>
        </w:rPr>
        <w:t>Mostrar degraded mode, latencia, tasa de abstención, fallos de retrieval y cobertura de fuentes.</w:t>
      </w:r>
    </w:p>
    <w:p>
      <w:pPr>
        <w:pStyle w:val="Heading1"/>
      </w:pPr>
      <w:r>
        <w:t>26. Flujo Mermaid propuesto</w:t>
      </w:r>
    </w:p>
    <w:p>
      <w:r>
        <w:rPr>
          <w:rFonts w:ascii="Aptos" w:hAnsi="Aptos"/>
        </w:rPr>
        <w:t>Este bloque puede incorporarse al README del repositorio o a la documentación técnica.</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0F3F5"/>
            <w:tcMar>
              <w:top w:w="120" w:type="dxa"/>
              <w:start w:w="140" w:type="dxa"/>
              <w:bottom w:w="120" w:type="dxa"/>
              <w:end w:w="140" w:type="dxa"/>
            </w:tcMar>
            <w:vAlign w:val="center"/>
          </w:tcPr>
          <w:p>
            <w:pPr>
              <w:pStyle w:val="CodeBlock"/>
            </w:pPr>
            <w:r>
              <w:rPr>
                <w:rFonts w:ascii="Liberation Mono" w:hAnsi="Liberation Mono"/>
                <w:color w:val="1E252B"/>
                <w:sz w:val="17"/>
              </w:rPr>
              <w:t>flowchart TB</w:t>
            </w:r>
          </w:p>
          <w:p>
            <w:pPr>
              <w:pStyle w:val="CodeBlock"/>
            </w:pPr>
            <w:r>
              <w:rPr>
                <w:rFonts w:ascii="Liberation Mono" w:hAnsi="Liberation Mono"/>
                <w:color w:val="1E252B"/>
                <w:sz w:val="17"/>
              </w:rPr>
              <w:t xml:space="preserve">    User["Usuario"]</w:t>
            </w:r>
          </w:p>
          <w:p>
            <w:pPr>
              <w:pStyle w:val="CodeBlock"/>
            </w:pPr>
            <w:r>
              <w:rPr>
                <w:rFonts w:ascii="Liberation Mono" w:hAnsi="Liberation Mono"/>
                <w:color w:val="1E252B"/>
                <w:sz w:val="17"/>
              </w:rPr>
              <w:t xml:space="preserve">    Input["API /api/chat /api/patient-chat"]</w:t>
            </w:r>
          </w:p>
          <w:p>
            <w:pPr>
              <w:pStyle w:val="CodeBlock"/>
            </w:pPr>
            <w:r>
              <w:rPr>
                <w:rFonts w:ascii="Liberation Mono" w:hAnsi="Liberation Mono"/>
                <w:color w:val="1E252B"/>
                <w:sz w:val="17"/>
              </w:rPr>
              <w:t xml:space="preserve">    Safety["Clinical Safety Router"]</w:t>
            </w:r>
          </w:p>
          <w:p>
            <w:pPr>
              <w:pStyle w:val="CodeBlock"/>
            </w:pPr>
            <w:r>
              <w:rPr>
                <w:rFonts w:ascii="Liberation Mono" w:hAnsi="Liberation Mono"/>
                <w:color w:val="1E252B"/>
                <w:sz w:val="17"/>
              </w:rPr>
              <w:t xml:space="preserve">    Intent["Intent"]</w:t>
            </w:r>
          </w:p>
          <w:p>
            <w:pPr>
              <w:pStyle w:val="CodeBlock"/>
            </w:pPr>
            <w:r>
              <w:rPr>
                <w:rFonts w:ascii="Liberation Mono" w:hAnsi="Liberation Mono"/>
                <w:color w:val="1E252B"/>
                <w:sz w:val="17"/>
              </w:rPr>
              <w:t xml:space="preserve">    Entities["Clinical Entity Extraction"]</w:t>
            </w:r>
          </w:p>
          <w:p>
            <w:pPr>
              <w:pStyle w:val="CodeBlock"/>
            </w:pPr>
            <w:r>
              <w:rPr>
                <w:rFonts w:ascii="Liberation Mono" w:hAnsi="Liberation Mono"/>
                <w:color w:val="1E252B"/>
                <w:sz w:val="17"/>
              </w:rPr>
              <w:t xml:space="preserve">    QueryPlan["Evidence / Query Router"]</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BM25["BM25"]</w:t>
            </w:r>
          </w:p>
          <w:p>
            <w:pPr>
              <w:pStyle w:val="CodeBlock"/>
            </w:pPr>
            <w:r>
              <w:rPr>
                <w:rFonts w:ascii="Liberation Mono" w:hAnsi="Liberation Mono"/>
                <w:color w:val="1E252B"/>
                <w:sz w:val="17"/>
              </w:rPr>
              <w:t xml:space="preserve">    Chroma["ChromaDB embeddings"]</w:t>
            </w:r>
          </w:p>
          <w:p>
            <w:pPr>
              <w:pStyle w:val="CodeBlock"/>
            </w:pPr>
            <w:r>
              <w:rPr>
                <w:rFonts w:ascii="Liberation Mono" w:hAnsi="Liberation Mono"/>
                <w:color w:val="1E252B"/>
                <w:sz w:val="17"/>
              </w:rPr>
              <w:t xml:space="preserve">    FTS["SQLite FTS5"]</w:t>
            </w:r>
          </w:p>
          <w:p>
            <w:pPr>
              <w:pStyle w:val="CodeBlock"/>
            </w:pPr>
            <w:r>
              <w:rPr>
                <w:rFonts w:ascii="Liberation Mono" w:hAnsi="Liberation Mono"/>
                <w:color w:val="1E252B"/>
                <w:sz w:val="17"/>
              </w:rPr>
              <w:t xml:space="preserve">    RRF["RRF fusion"]</w:t>
            </w:r>
          </w:p>
          <w:p>
            <w:pPr>
              <w:pStyle w:val="CodeBlock"/>
            </w:pPr>
            <w:r>
              <w:rPr>
                <w:rFonts w:ascii="Liberation Mono" w:hAnsi="Liberation Mono"/>
                <w:color w:val="1E252B"/>
                <w:sz w:val="17"/>
              </w:rPr>
              <w:t xml:space="preserve">    Rerank["CrossEncoder"]</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AEMPS["CIMA AEMPS"]</w:t>
            </w:r>
          </w:p>
          <w:p>
            <w:pPr>
              <w:pStyle w:val="CodeBlock"/>
            </w:pPr>
            <w:r>
              <w:rPr>
                <w:rFonts w:ascii="Liberation Mono" w:hAnsi="Liberation Mono"/>
                <w:color w:val="1E252B"/>
                <w:sz w:val="17"/>
              </w:rPr>
              <w:t xml:space="preserve">    PubMed["PubMed Live"]</w:t>
            </w:r>
          </w:p>
          <w:p>
            <w:pPr>
              <w:pStyle w:val="CodeBlock"/>
            </w:pPr>
            <w:r>
              <w:rPr>
                <w:rFonts w:ascii="Liberation Mono" w:hAnsi="Liberation Mono"/>
                <w:color w:val="1E252B"/>
                <w:sz w:val="17"/>
              </w:rPr>
              <w:t xml:space="preserve">    Master["tbc_master.db"]</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Pack["Evidence Pack"]</w:t>
            </w:r>
          </w:p>
          <w:p>
            <w:pPr>
              <w:pStyle w:val="CodeBlock"/>
            </w:pPr>
            <w:r>
              <w:rPr>
                <w:rFonts w:ascii="Liberation Mono" w:hAnsi="Liberation Mono"/>
                <w:color w:val="1E252B"/>
                <w:sz w:val="17"/>
              </w:rPr>
              <w:t xml:space="preserve">    Conflict["Contradiction Engine"]</w:t>
            </w:r>
          </w:p>
          <w:p>
            <w:pPr>
              <w:pStyle w:val="CodeBlock"/>
            </w:pPr>
            <w:r>
              <w:rPr>
                <w:rFonts w:ascii="Liberation Mono" w:hAnsi="Liberation Mono"/>
                <w:color w:val="1E252B"/>
                <w:sz w:val="17"/>
              </w:rPr>
              <w:t xml:space="preserve">    Suff["Evidence Sufficiency"]</w:t>
            </w:r>
          </w:p>
          <w:p>
            <w:pPr>
              <w:pStyle w:val="CodeBlock"/>
            </w:pPr>
            <w:r>
              <w:rPr>
                <w:rFonts w:ascii="Liberation Mono" w:hAnsi="Liberation Mono"/>
                <w:color w:val="1E252B"/>
                <w:sz w:val="17"/>
              </w:rPr>
              <w:t xml:space="preserve">    Generate["Llama 3.1 8B"]</w:t>
            </w:r>
          </w:p>
          <w:p>
            <w:pPr>
              <w:pStyle w:val="CodeBlock"/>
            </w:pPr>
            <w:r>
              <w:rPr>
                <w:rFonts w:ascii="Liberation Mono" w:hAnsi="Liberation Mono"/>
                <w:color w:val="1E252B"/>
                <w:sz w:val="17"/>
              </w:rPr>
              <w:t xml:space="preserve">    Claims["Claim Extraction"]</w:t>
            </w:r>
          </w:p>
          <w:p>
            <w:pPr>
              <w:pStyle w:val="CodeBlock"/>
            </w:pPr>
            <w:r>
              <w:rPr>
                <w:rFonts w:ascii="Liberation Mono" w:hAnsi="Liberation Mono"/>
                <w:color w:val="1E252B"/>
                <w:sz w:val="17"/>
              </w:rPr>
              <w:t xml:space="preserve">    Verify["Claim Verification"]</w:t>
            </w:r>
          </w:p>
          <w:p>
            <w:pPr>
              <w:pStyle w:val="CodeBlock"/>
            </w:pPr>
            <w:r>
              <w:rPr>
                <w:rFonts w:ascii="Liberation Mono" w:hAnsi="Liberation Mono"/>
                <w:color w:val="1E252B"/>
                <w:sz w:val="17"/>
              </w:rPr>
              <w:t xml:space="preserve">    Critic["Mistral Critic selectivo"]</w:t>
            </w:r>
          </w:p>
          <w:p>
            <w:pPr>
              <w:pStyle w:val="CodeBlock"/>
            </w:pPr>
            <w:r>
              <w:rPr>
                <w:rFonts w:ascii="Liberation Mono" w:hAnsi="Liberation Mono"/>
                <w:color w:val="1E252B"/>
                <w:sz w:val="17"/>
              </w:rPr>
              <w:t xml:space="preserve">    FinalGate["Final Safety Gate"]</w:t>
            </w:r>
          </w:p>
          <w:p>
            <w:pPr>
              <w:pStyle w:val="CodeBlock"/>
            </w:pPr>
            <w:r>
              <w:rPr>
                <w:rFonts w:ascii="Liberation Mono" w:hAnsi="Liberation Mono"/>
                <w:color w:val="1E252B"/>
                <w:sz w:val="17"/>
              </w:rPr>
              <w:t xml:space="preserve">    Audit["Audit Trail"]</w:t>
            </w:r>
          </w:p>
          <w:p>
            <w:pPr>
              <w:pStyle w:val="CodeBlock"/>
            </w:pPr>
            <w:r>
              <w:rPr>
                <w:rFonts w:ascii="Liberation Mono" w:hAnsi="Liberation Mono"/>
                <w:color w:val="1E252B"/>
                <w:sz w:val="17"/>
              </w:rPr>
            </w:r>
          </w:p>
          <w:p>
            <w:pPr>
              <w:pStyle w:val="CodeBlock"/>
            </w:pPr>
            <w:r>
              <w:rPr>
                <w:rFonts w:ascii="Liberation Mono" w:hAnsi="Liberation Mono"/>
                <w:color w:val="1E252B"/>
                <w:sz w:val="17"/>
              </w:rPr>
              <w:t xml:space="preserve">    User --&gt; Input --&gt; Safety --&gt; Intent --&gt; Entities --&gt; QueryPlan</w:t>
            </w:r>
          </w:p>
          <w:p>
            <w:pPr>
              <w:pStyle w:val="CodeBlock"/>
            </w:pPr>
            <w:r>
              <w:rPr>
                <w:rFonts w:ascii="Liberation Mono" w:hAnsi="Liberation Mono"/>
                <w:color w:val="1E252B"/>
                <w:sz w:val="17"/>
              </w:rPr>
              <w:t xml:space="preserve">    QueryPlan --&gt; BM25</w:t>
            </w:r>
          </w:p>
          <w:p>
            <w:pPr>
              <w:pStyle w:val="CodeBlock"/>
            </w:pPr>
            <w:r>
              <w:rPr>
                <w:rFonts w:ascii="Liberation Mono" w:hAnsi="Liberation Mono"/>
                <w:color w:val="1E252B"/>
                <w:sz w:val="17"/>
              </w:rPr>
              <w:t xml:space="preserve">    QueryPlan --&gt; Chroma</w:t>
            </w:r>
          </w:p>
          <w:p>
            <w:pPr>
              <w:pStyle w:val="CodeBlock"/>
            </w:pPr>
            <w:r>
              <w:rPr>
                <w:rFonts w:ascii="Liberation Mono" w:hAnsi="Liberation Mono"/>
                <w:color w:val="1E252B"/>
                <w:sz w:val="17"/>
              </w:rPr>
              <w:t xml:space="preserve">    QueryPlan --&gt; FTS</w:t>
            </w:r>
          </w:p>
          <w:p>
            <w:pPr>
              <w:pStyle w:val="CodeBlock"/>
            </w:pPr>
            <w:r>
              <w:rPr>
                <w:rFonts w:ascii="Liberation Mono" w:hAnsi="Liberation Mono"/>
                <w:color w:val="1E252B"/>
                <w:sz w:val="17"/>
              </w:rPr>
              <w:t xml:space="preserve">    QueryPlan --&gt; AEMPS</w:t>
            </w:r>
          </w:p>
          <w:p>
            <w:pPr>
              <w:pStyle w:val="CodeBlock"/>
            </w:pPr>
            <w:r>
              <w:rPr>
                <w:rFonts w:ascii="Liberation Mono" w:hAnsi="Liberation Mono"/>
                <w:color w:val="1E252B"/>
                <w:sz w:val="17"/>
              </w:rPr>
              <w:t xml:space="preserve">    QueryPlan --&gt; PubMed</w:t>
            </w:r>
          </w:p>
          <w:p>
            <w:pPr>
              <w:pStyle w:val="CodeBlock"/>
            </w:pPr>
            <w:r>
              <w:rPr>
                <w:rFonts w:ascii="Liberation Mono" w:hAnsi="Liberation Mono"/>
                <w:color w:val="1E252B"/>
                <w:sz w:val="17"/>
              </w:rPr>
              <w:t xml:space="preserve">    QueryPlan --&gt; Master</w:t>
            </w:r>
          </w:p>
          <w:p>
            <w:pPr>
              <w:pStyle w:val="CodeBlock"/>
            </w:pPr>
            <w:r>
              <w:rPr>
                <w:rFonts w:ascii="Liberation Mono" w:hAnsi="Liberation Mono"/>
                <w:color w:val="1E252B"/>
                <w:sz w:val="17"/>
              </w:rPr>
              <w:t xml:space="preserve">    BM25 --&gt; RRF</w:t>
            </w:r>
          </w:p>
          <w:p>
            <w:pPr>
              <w:pStyle w:val="CodeBlock"/>
            </w:pPr>
            <w:r>
              <w:rPr>
                <w:rFonts w:ascii="Liberation Mono" w:hAnsi="Liberation Mono"/>
                <w:color w:val="1E252B"/>
                <w:sz w:val="17"/>
              </w:rPr>
              <w:t xml:space="preserve">    Chroma --&gt; RRF</w:t>
            </w:r>
          </w:p>
          <w:p>
            <w:pPr>
              <w:pStyle w:val="CodeBlock"/>
            </w:pPr>
            <w:r>
              <w:rPr>
                <w:rFonts w:ascii="Liberation Mono" w:hAnsi="Liberation Mono"/>
                <w:color w:val="1E252B"/>
                <w:sz w:val="17"/>
              </w:rPr>
              <w:t xml:space="preserve">    FTS --&gt; RRF</w:t>
            </w:r>
          </w:p>
          <w:p>
            <w:pPr>
              <w:pStyle w:val="CodeBlock"/>
            </w:pPr>
            <w:r>
              <w:rPr>
                <w:rFonts w:ascii="Liberation Mono" w:hAnsi="Liberation Mono"/>
                <w:color w:val="1E252B"/>
                <w:sz w:val="17"/>
              </w:rPr>
              <w:t xml:space="preserve">    RRF --&gt; Rerank --&gt; Pack</w:t>
            </w:r>
          </w:p>
          <w:p>
            <w:pPr>
              <w:pStyle w:val="CodeBlock"/>
            </w:pPr>
            <w:r>
              <w:rPr>
                <w:rFonts w:ascii="Liberation Mono" w:hAnsi="Liberation Mono"/>
                <w:color w:val="1E252B"/>
                <w:sz w:val="17"/>
              </w:rPr>
              <w:t xml:space="preserve">    AEMPS --&gt; Pack</w:t>
            </w:r>
          </w:p>
          <w:p>
            <w:pPr>
              <w:pStyle w:val="CodeBlock"/>
            </w:pPr>
            <w:r>
              <w:rPr>
                <w:rFonts w:ascii="Liberation Mono" w:hAnsi="Liberation Mono"/>
                <w:color w:val="1E252B"/>
                <w:sz w:val="17"/>
              </w:rPr>
              <w:t xml:space="preserve">    PubMed --&gt; Pack</w:t>
            </w:r>
          </w:p>
          <w:p>
            <w:pPr>
              <w:pStyle w:val="CodeBlock"/>
            </w:pPr>
            <w:r>
              <w:rPr>
                <w:rFonts w:ascii="Liberation Mono" w:hAnsi="Liberation Mono"/>
                <w:color w:val="1E252B"/>
                <w:sz w:val="17"/>
              </w:rPr>
              <w:t xml:space="preserve">    Master --&gt; Pack</w:t>
            </w:r>
          </w:p>
          <w:p>
            <w:pPr>
              <w:pStyle w:val="CodeBlock"/>
            </w:pPr>
            <w:r>
              <w:rPr>
                <w:rFonts w:ascii="Liberation Mono" w:hAnsi="Liberation Mono"/>
                <w:color w:val="1E252B"/>
                <w:sz w:val="17"/>
              </w:rPr>
              <w:t xml:space="preserve">    Pack --&gt; Conflict --&gt; Suff</w:t>
            </w:r>
          </w:p>
          <w:p>
            <w:pPr>
              <w:pStyle w:val="CodeBlock"/>
            </w:pPr>
            <w:r>
              <w:rPr>
                <w:rFonts w:ascii="Liberation Mono" w:hAnsi="Liberation Mono"/>
                <w:color w:val="1E252B"/>
                <w:sz w:val="17"/>
              </w:rPr>
              <w:t xml:space="preserve">    Suff --&gt;|suficiente| Generate --&gt; Claims --&gt; Verify</w:t>
            </w:r>
          </w:p>
          <w:p>
            <w:pPr>
              <w:pStyle w:val="CodeBlock"/>
            </w:pPr>
            <w:r>
              <w:rPr>
                <w:rFonts w:ascii="Liberation Mono" w:hAnsi="Liberation Mono"/>
                <w:color w:val="1E252B"/>
                <w:sz w:val="17"/>
              </w:rPr>
              <w:t xml:space="preserve">    Verify --&gt;|riesgo/duda/conflicto| Critic</w:t>
            </w:r>
          </w:p>
          <w:p>
            <w:pPr>
              <w:pStyle w:val="CodeBlock"/>
            </w:pPr>
            <w:r>
              <w:rPr>
                <w:rFonts w:ascii="Liberation Mono" w:hAnsi="Liberation Mono"/>
                <w:color w:val="1E252B"/>
                <w:sz w:val="17"/>
              </w:rPr>
              <w:t xml:space="preserve">    Verify --&gt; FinalGate</w:t>
            </w:r>
          </w:p>
          <w:p>
            <w:pPr>
              <w:pStyle w:val="CodeBlock"/>
            </w:pPr>
            <w:r>
              <w:rPr>
                <w:rFonts w:ascii="Liberation Mono" w:hAnsi="Liberation Mono"/>
                <w:color w:val="1E252B"/>
                <w:sz w:val="17"/>
              </w:rPr>
              <w:t xml:space="preserve">    Critic --&gt; FinalGate</w:t>
            </w:r>
          </w:p>
          <w:p>
            <w:pPr>
              <w:pStyle w:val="CodeBlock"/>
            </w:pPr>
            <w:r>
              <w:rPr>
                <w:rFonts w:ascii="Liberation Mono" w:hAnsi="Liberation Mono"/>
                <w:color w:val="1E252B"/>
                <w:sz w:val="17"/>
              </w:rPr>
              <w:t xml:space="preserve">    Suff --&gt;|insuficiente| FinalGate</w:t>
            </w:r>
          </w:p>
          <w:p>
            <w:pPr>
              <w:pStyle w:val="CodeBlock"/>
            </w:pPr>
            <w:r>
              <w:rPr>
                <w:rFonts w:ascii="Liberation Mono" w:hAnsi="Liberation Mono"/>
                <w:color w:val="1E252B"/>
                <w:sz w:val="17"/>
              </w:rPr>
              <w:t xml:space="preserve">    FinalGate --&gt; User</w:t>
            </w:r>
          </w:p>
          <w:p>
            <w:pPr>
              <w:pStyle w:val="CodeBlock"/>
            </w:pPr>
            <w:r>
              <w:rPr>
                <w:rFonts w:ascii="Liberation Mono" w:hAnsi="Liberation Mono"/>
                <w:color w:val="1E252B"/>
                <w:sz w:val="17"/>
              </w:rPr>
              <w:t xml:space="preserve">    Safety -.-&gt; Audit</w:t>
            </w:r>
          </w:p>
          <w:p>
            <w:pPr>
              <w:pStyle w:val="CodeBlock"/>
            </w:pPr>
            <w:r>
              <w:rPr>
                <w:rFonts w:ascii="Liberation Mono" w:hAnsi="Liberation Mono"/>
                <w:color w:val="1E252B"/>
                <w:sz w:val="17"/>
              </w:rPr>
              <w:t xml:space="preserve">    Pack -.-&gt; Audit</w:t>
            </w:r>
          </w:p>
          <w:p>
            <w:pPr>
              <w:pStyle w:val="CodeBlock"/>
            </w:pPr>
            <w:r>
              <w:rPr>
                <w:rFonts w:ascii="Liberation Mono" w:hAnsi="Liberation Mono"/>
                <w:color w:val="1E252B"/>
                <w:sz w:val="17"/>
              </w:rPr>
              <w:t xml:space="preserve">    Verify -.-&gt; Audit</w:t>
            </w:r>
          </w:p>
          <w:p>
            <w:pPr>
              <w:pStyle w:val="CodeBlock"/>
            </w:pPr>
            <w:r>
              <w:rPr>
                <w:rFonts w:ascii="Liberation Mono" w:hAnsi="Liberation Mono"/>
                <w:color w:val="1E252B"/>
                <w:sz w:val="17"/>
              </w:rPr>
              <w:t xml:space="preserve">    FinalGate -.-&gt; Audit</w:t>
            </w:r>
          </w:p>
        </w:tc>
      </w:tr>
    </w:tbl>
    <w:p>
      <w:pPr>
        <w:pStyle w:val="Heading1"/>
      </w:pPr>
      <w:r>
        <w:t>27. Qué no añadiría todavía</w:t>
      </w:r>
    </w:p>
    <w:p>
      <w:r>
        <w:rPr>
          <w:rFonts w:ascii="Aptos" w:hAnsi="Aptos"/>
        </w:rPr>
        <w:t>No incorporaría más modelos, agentes o frameworks hasta tener medidos retrieval, abstención y seguridad. Más componentes pueden aumentar complejidad sin mejorar la calidad.</w:t>
      </w:r>
    </w:p>
    <w:p>
      <w:pPr>
        <w:pStyle w:val="ListBullet"/>
      </w:pPr>
      <w:r>
        <w:rPr>
          <w:rFonts w:ascii="Aptos" w:hAnsi="Aptos"/>
        </w:rPr>
        <w:t>Un sistema multiagente general para cada pregunta.</w:t>
      </w:r>
    </w:p>
    <w:p>
      <w:pPr>
        <w:pStyle w:val="ListBullet"/>
      </w:pPr>
      <w:r>
        <w:rPr>
          <w:rFonts w:ascii="Aptos" w:hAnsi="Aptos"/>
        </w:rPr>
        <w:t>Tres o cuatro LLM generando respuestas completas en paralelo.</w:t>
      </w:r>
    </w:p>
    <w:p>
      <w:pPr>
        <w:pStyle w:val="ListBullet"/>
      </w:pPr>
      <w:r>
        <w:rPr>
          <w:rFonts w:ascii="Aptos" w:hAnsi="Aptos"/>
        </w:rPr>
        <w:t>Scores de confianza visibles en porcentaje sin calibración.</w:t>
      </w:r>
    </w:p>
    <w:p>
      <w:pPr>
        <w:pStyle w:val="ListBullet"/>
      </w:pPr>
      <w:r>
        <w:rPr>
          <w:rFonts w:ascii="Aptos" w:hAnsi="Aptos"/>
        </w:rPr>
        <w:t>Búsqueda en internet abierta para responder directamente a pacientes.</w:t>
      </w:r>
    </w:p>
    <w:p>
      <w:pPr>
        <w:pStyle w:val="ListBullet"/>
      </w:pPr>
      <w:r>
        <w:rPr>
          <w:rFonts w:ascii="Aptos" w:hAnsi="Aptos"/>
        </w:rPr>
        <w:t>Autoactualización de la base clínica sin revisión, versionado y validación.</w:t>
      </w:r>
    </w:p>
    <w:p>
      <w:pPr>
        <w:pStyle w:val="Heading1"/>
      </w:pPr>
      <w:r>
        <w:t>28. Prioridades resumidas</w:t>
      </w:r>
    </w:p>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A33A3A"/>
            <w:tcMar>
              <w:top w:w="40" w:type="dxa"/>
              <w:start w:w="0" w:type="dxa"/>
              <w:bottom w:w="40" w:type="dxa"/>
              <w:end w:w="0" w:type="dxa"/>
            </w:tcMar>
            <w:vAlign w:val="center"/>
          </w:tcPr>
          <w:p/>
        </w:tc>
        <w:tc>
          <w:tcPr>
            <w:tcW w:type="dxa" w:w="5040"/>
            <w:shd w:fill="FDECEC"/>
            <w:tcMar>
              <w:top w:w="120" w:type="dxa"/>
              <w:start w:w="150" w:type="dxa"/>
              <w:bottom w:w="120" w:type="dxa"/>
              <w:end w:w="150" w:type="dxa"/>
            </w:tcMar>
            <w:vAlign w:val="center"/>
          </w:tcPr>
          <w:p>
            <w:r>
              <w:rPr>
                <w:rFonts w:ascii="Aptos" w:hAnsi="Aptos"/>
                <w:b/>
                <w:color w:val="A33A3A"/>
                <w:sz w:val="20"/>
              </w:rPr>
              <w:t>Prioridad 1</w:t>
              <w:br/>
            </w:r>
            <w:r>
              <w:rPr>
                <w:rFonts w:ascii="Aptos" w:hAnsi="Aptos"/>
                <w:color w:val="1E252B"/>
                <w:sz w:val="18"/>
              </w:rPr>
              <w:t>Clinical Safety Router antes de cualquier LLM o retrieval normal.</w:t>
            </w:r>
          </w:p>
        </w:tc>
      </w:tr>
    </w:tbl>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245C8A"/>
            <w:tcMar>
              <w:top w:w="40" w:type="dxa"/>
              <w:start w:w="0" w:type="dxa"/>
              <w:bottom w:w="40" w:type="dxa"/>
              <w:end w:w="0" w:type="dxa"/>
            </w:tcMar>
            <w:vAlign w:val="center"/>
          </w:tcPr>
          <w:p/>
        </w:tc>
        <w:tc>
          <w:tcPr>
            <w:tcW w:type="dxa" w:w="5040"/>
            <w:shd w:fill="EAF2F8"/>
            <w:tcMar>
              <w:top w:w="120" w:type="dxa"/>
              <w:start w:w="150" w:type="dxa"/>
              <w:bottom w:w="120" w:type="dxa"/>
              <w:end w:w="150" w:type="dxa"/>
            </w:tcMar>
            <w:vAlign w:val="center"/>
          </w:tcPr>
          <w:p>
            <w:r>
              <w:rPr>
                <w:rFonts w:ascii="Aptos" w:hAnsi="Aptos"/>
                <w:b/>
                <w:color w:val="245C8A"/>
                <w:sz w:val="20"/>
              </w:rPr>
              <w:t>Prioridad 2</w:t>
              <w:br/>
            </w:r>
            <w:r>
              <w:rPr>
                <w:rFonts w:ascii="Aptos" w:hAnsi="Aptos"/>
                <w:color w:val="1E252B"/>
                <w:sz w:val="18"/>
              </w:rPr>
              <w:t>BM25 + Chroma + FTS5 como retrieval híbrido principal; RRF + CrossEncoder.</w:t>
            </w:r>
          </w:p>
        </w:tc>
      </w:tr>
    </w:tbl>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1F6E5C"/>
            <w:tcMar>
              <w:top w:w="40" w:type="dxa"/>
              <w:start w:w="0" w:type="dxa"/>
              <w:bottom w:w="40" w:type="dxa"/>
              <w:end w:w="0" w:type="dxa"/>
            </w:tcMar>
            <w:vAlign w:val="center"/>
          </w:tcPr>
          <w:p/>
        </w:tc>
        <w:tc>
          <w:tcPr>
            <w:tcW w:type="dxa" w:w="5040"/>
            <w:shd w:fill="EDF7F3"/>
            <w:tcMar>
              <w:top w:w="120" w:type="dxa"/>
              <w:start w:w="150" w:type="dxa"/>
              <w:bottom w:w="120" w:type="dxa"/>
              <w:end w:w="150" w:type="dxa"/>
            </w:tcMar>
            <w:vAlign w:val="center"/>
          </w:tcPr>
          <w:p>
            <w:r>
              <w:rPr>
                <w:rFonts w:ascii="Aptos" w:hAnsi="Aptos"/>
                <w:b/>
                <w:color w:val="1F6E5C"/>
                <w:sz w:val="20"/>
              </w:rPr>
              <w:t>Prioridad 3</w:t>
              <w:br/>
            </w:r>
            <w:r>
              <w:rPr>
                <w:rFonts w:ascii="Aptos" w:hAnsi="Aptos"/>
                <w:color w:val="1E252B"/>
                <w:sz w:val="18"/>
              </w:rPr>
              <w:t>Evidence Pack y Evidence Sufficiency antes de generate_response.</w:t>
            </w:r>
          </w:p>
        </w:tc>
      </w:tr>
    </w:tbl>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5C6770"/>
            <w:tcMar>
              <w:top w:w="40" w:type="dxa"/>
              <w:start w:w="0" w:type="dxa"/>
              <w:bottom w:w="40" w:type="dxa"/>
              <w:end w:w="0" w:type="dxa"/>
            </w:tcMar>
            <w:vAlign w:val="center"/>
          </w:tcPr>
          <w:p/>
        </w:tc>
        <w:tc>
          <w:tcPr>
            <w:tcW w:type="dxa" w:w="5040"/>
            <w:shd w:fill="F5F8FA"/>
            <w:tcMar>
              <w:top w:w="120" w:type="dxa"/>
              <w:start w:w="150" w:type="dxa"/>
              <w:bottom w:w="120" w:type="dxa"/>
              <w:end w:w="150" w:type="dxa"/>
            </w:tcMar>
            <w:vAlign w:val="center"/>
          </w:tcPr>
          <w:p>
            <w:r>
              <w:rPr>
                <w:rFonts w:ascii="Aptos" w:hAnsi="Aptos"/>
                <w:b/>
                <w:color w:val="5C6770"/>
                <w:sz w:val="20"/>
              </w:rPr>
              <w:t>Prioridad 4</w:t>
              <w:br/>
            </w:r>
            <w:r>
              <w:rPr>
                <w:rFonts w:ascii="Aptos" w:hAnsi="Aptos"/>
                <w:color w:val="1E252B"/>
                <w:sz w:val="18"/>
              </w:rPr>
              <w:t>Claim-level verification y Mistral como crítico selectivo.</w:t>
            </w:r>
          </w:p>
        </w:tc>
      </w:tr>
    </w:tbl>
    <w:tbl>
      <w:tblPr>
        <w:tblW w:type="auto" w:w="0"/>
        <w:jc w:val="center"/>
        <w:tblLayout w:type="fixed"/>
        <w:tblLook w:firstColumn="1" w:firstRow="1" w:lastColumn="0" w:lastRow="0" w:noHBand="0" w:noVBand="1" w:val="04A0"/>
      </w:tblPr>
      <w:tblGrid>
        <w:gridCol w:w="173"/>
        <w:gridCol w:w="9360"/>
      </w:tblGrid>
      <w:tr>
        <w:trPr>
          <w:tblHeader w:val="true"/>
          <w:cantSplit/>
        </w:trPr>
        <w:tc>
          <w:tcPr>
            <w:tcW w:type="dxa" w:w="5040"/>
            <w:shd w:fill="A75B17"/>
            <w:tcMar>
              <w:top w:w="40" w:type="dxa"/>
              <w:start w:w="0" w:type="dxa"/>
              <w:bottom w:w="40" w:type="dxa"/>
              <w:end w:w="0" w:type="dxa"/>
            </w:tcMar>
            <w:vAlign w:val="center"/>
          </w:tcPr>
          <w:p/>
        </w:tc>
        <w:tc>
          <w:tcPr>
            <w:tcW w:type="dxa" w:w="5040"/>
            <w:shd w:fill="FFF4E8"/>
            <w:tcMar>
              <w:top w:w="120" w:type="dxa"/>
              <w:start w:w="150" w:type="dxa"/>
              <w:bottom w:w="120" w:type="dxa"/>
              <w:end w:w="150" w:type="dxa"/>
            </w:tcMar>
            <w:vAlign w:val="center"/>
          </w:tcPr>
          <w:p>
            <w:r>
              <w:rPr>
                <w:rFonts w:ascii="Aptos" w:hAnsi="Aptos"/>
                <w:b/>
                <w:color w:val="A75B17"/>
                <w:sz w:val="20"/>
              </w:rPr>
              <w:t>Prioridad 5</w:t>
              <w:br/>
            </w:r>
            <w:r>
              <w:rPr>
                <w:rFonts w:ascii="Aptos" w:hAnsi="Aptos"/>
                <w:color w:val="1E252B"/>
                <w:sz w:val="18"/>
              </w:rPr>
              <w:t>Audit trail + dataset de validación para demostrar la mejora.</w:t>
            </w:r>
          </w:p>
        </w:tc>
      </w:tr>
    </w:tbl>
    <w:p>
      <w:pPr>
        <w:pStyle w:val="Heading1"/>
      </w:pPr>
      <w:r>
        <w:t>29. Conclusión</w:t>
      </w:r>
    </w:p>
    <w:p>
      <w:r>
        <w:rPr>
          <w:rFonts w:ascii="Aptos" w:hAnsi="Aptos"/>
        </w:rPr>
        <w:t>La arquitectura propuesta debería ser más resistente a errores de recuperación, fallos de servicios y respuestas no fundamentadas porque introduce barreras independientes antes y después del LLM. Su ventaja principal no es “tener más IA”, sino limitar las decisiones que dependen exclusivamente del modelo generativo.</w:t>
      </w:r>
    </w:p>
    <w:p>
      <w:r>
        <w:rPr>
          <w:rFonts w:ascii="Aptos" w:hAnsi="Aptos"/>
        </w:rPr>
        <w:t>El criterio final de fiabilidad debe venir de una validación comparativa: misma batería de preguntas, mismas fuentes de referencia y evaluación explícita de exactitud clínica, groundedness, red flags, abstención, recuperación y alucinaciones. Si la versión propuesta mejora esas métricas sin una penalización inaceptable de latencia, entonces podrás sostener con datos que TBC-AI es más fiable que la arquitectura inicial.</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Mar>
            <w:top w:w="0" w:type="dxa"/>
            <w:start w:w="0" w:type="dxa"/>
            <w:bottom w:w="0" w:type="dxa"/>
            <w:end w:w="0" w:type="dxa"/>
          </w:tcMar>
        </w:tcPr>
        <w:p>
          <w:r>
            <w:rPr>
              <w:rFonts w:ascii="Aptos" w:hAnsi="Aptos"/>
              <w:color w:val="5C6770"/>
              <w:sz w:val="16"/>
            </w:rPr>
            <w:t>Documento técnico de trabajo</w:t>
          </w:r>
        </w:p>
      </w:tc>
      <w:tc>
        <w:tcPr>
          <w:tcW w:type="dxa" w:w="4968"/>
          <w:tcMar>
            <w:top w:w="0" w:type="dxa"/>
            <w:start w:w="0" w:type="dxa"/>
            <w:bottom w:w="0" w:type="dxa"/>
            <w:end w:w="0" w:type="dxa"/>
          </w:tcMar>
        </w:tcPr>
        <w:p>
          <w:pPr>
            <w:jc w:val="right"/>
          </w:pPr>
          <w:r>
            <w:rPr>
              <w:rFonts w:ascii="Aptos" w:hAnsi="Aptos"/>
              <w:color w:val="5C6770"/>
              <w:sz w:val="16"/>
            </w:rPr>
            <w:t>TBC-AI</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770"/>
        <w:sz w:val="16"/>
      </w:rPr>
      <w:t>TBC-AI · Arquitectura clínica y 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5C8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6E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16" w:right="216"/>
    </w:pPr>
    <w:rPr>
      <w:rFonts w:ascii="Liberation Mono" w:hAnsi="Liberation Mono"/>
      <w:color w:val="1E25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TBC-AI · Arquitectura robusta y fiable</dc:title>
  <dc:subject>Propuesta técnica de rediseño de arquitectura clínica, RAG y seguridad</dc:subject>
  <dc:creator>python-docx</dc:creator>
  <cp:keywords>TBC-AI, RAG, tuberculosis, Llama, Mistral, ChromaDB, AEMPS, PubMed, seguridad clínica</cp:keywords>
  <dc:description>generated by python-docx</dc:description>
  <cp:lastModifiedBy/>
  <cp:revision>1</cp:revision>
  <dcterms:created xsi:type="dcterms:W3CDTF">2013-12-23T23:15:00Z</dcterms:created>
  <dcterms:modified xsi:type="dcterms:W3CDTF">2013-12-23T23:15:00Z</dcterms:modified>
  <cp:category/>
</cp:coreProperties>
</file>