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</w:rPr>
        <w:t>REPORTE CLÍNICO-TÉCNICO DE REDES NEURONALES OCULARES</w:t>
      </w:r>
    </w:p>
    <w:p>
      <w:pPr>
        <w:jc w:val="center"/>
      </w:pPr>
      <w:r>
        <w:t>Generado el: 09/07/2026 a las 11:57:56</w:t>
        <w:br/>
        <w:t>Metodología: Validación Cruzada (5-Fold Cross Validation)</w:t>
      </w:r>
    </w:p>
    <w:p>
      <w:r>
        <w:rPr>
          <w:b/>
        </w:rPr>
        <w:br/>
        <w:t>1. INTRODUCCIÓN Y CONTEXTO</w:t>
      </w:r>
    </w:p>
    <w:p>
      <w:r>
        <w:t>Este informe detalla los resultados obtenidos al evaluar tres modelos clásicos de redes neuronales convolucionales (MobileNetV2, ResNet50V2, EfficientNetB0) y dos modelos híbridos (Fusión de características y CNN-RandomForest) para la detección y clasificación de patologías oculares como Catarata, Glaucoma, Retinopatía Diabética, entre otras. La evaluación se realizó mediante validación cruzada para garantizar la estabilidad y reproducibilidad de las métricas.</w:t>
      </w:r>
    </w:p>
    <w:p>
      <w:r>
        <w:rPr>
          <w:b/>
        </w:rPr>
        <w:t>2. RESUMEN DE RENDIMIENTO DE LOS MODELOS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Modelo</w:t>
            </w:r>
          </w:p>
        </w:tc>
        <w:tc>
          <w:tcPr>
            <w:tcW w:type="dxa" w:w="1728"/>
          </w:tcPr>
          <w:p>
            <w:r>
              <w:t>Accuracy Promedio</w:t>
            </w:r>
          </w:p>
        </w:tc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F1 weighted</w:t>
            </w:r>
          </w:p>
        </w:tc>
        <w:tc>
          <w:tcPr>
            <w:tcW w:type="dxa" w:w="1728"/>
          </w:tcPr>
          <w:p>
            <w:r>
              <w:t>Tiempo Medio (s)</w:t>
            </w:r>
          </w:p>
        </w:tc>
      </w:tr>
      <w:tr>
        <w:tc>
          <w:tcPr>
            <w:tcW w:type="dxa" w:w="1728"/>
          </w:tcPr>
          <w:p>
            <w:r>
              <w:t>FUSION_NET</w:t>
            </w:r>
          </w:p>
        </w:tc>
        <w:tc>
          <w:tcPr>
            <w:tcW w:type="dxa" w:w="1728"/>
          </w:tcPr>
          <w:p>
            <w:r>
              <w:t>54.62%</w:t>
            </w:r>
          </w:p>
        </w:tc>
        <w:tc>
          <w:tcPr>
            <w:tcW w:type="dxa" w:w="1728"/>
          </w:tcPr>
          <w:p>
            <w:r>
              <w:t>±0.0094</w:t>
            </w:r>
          </w:p>
        </w:tc>
        <w:tc>
          <w:tcPr>
            <w:tcW w:type="dxa" w:w="1728"/>
          </w:tcPr>
          <w:p>
            <w:r>
              <w:t>0.4866</w:t>
            </w:r>
          </w:p>
        </w:tc>
        <w:tc>
          <w:tcPr>
            <w:tcW w:type="dxa" w:w="1728"/>
          </w:tcPr>
          <w:p>
            <w:r>
              <w:t>232.93s</w:t>
            </w:r>
          </w:p>
        </w:tc>
      </w:tr>
      <w:tr>
        <w:tc>
          <w:tcPr>
            <w:tcW w:type="dxa" w:w="1728"/>
          </w:tcPr>
          <w:p>
            <w:r>
              <w:t>CNN_RF</w:t>
            </w:r>
          </w:p>
        </w:tc>
        <w:tc>
          <w:tcPr>
            <w:tcW w:type="dxa" w:w="1728"/>
          </w:tcPr>
          <w:p>
            <w:r>
              <w:t>54.85%</w:t>
            </w:r>
          </w:p>
        </w:tc>
        <w:tc>
          <w:tcPr>
            <w:tcW w:type="dxa" w:w="1728"/>
          </w:tcPr>
          <w:p>
            <w:r>
              <w:t>±0.0091</w:t>
            </w:r>
          </w:p>
        </w:tc>
        <w:tc>
          <w:tcPr>
            <w:tcW w:type="dxa" w:w="1728"/>
          </w:tcPr>
          <w:p>
            <w:r>
              <w:t>0.4612</w:t>
            </w:r>
          </w:p>
        </w:tc>
        <w:tc>
          <w:tcPr>
            <w:tcW w:type="dxa" w:w="1728"/>
          </w:tcPr>
          <w:p>
            <w:r>
              <w:t>1.55s</w:t>
            </w:r>
          </w:p>
        </w:tc>
      </w:tr>
    </w:tbl>
    <w:p/>
    <w:p>
      <w:r>
        <w:rPr>
          <w:b/>
        </w:rPr>
        <w:t>3. ANÁLISIS GRÁFICO COMPARATIVO</w:t>
      </w:r>
    </w:p>
    <w:p>
      <w:r>
        <w:drawing>
          <wp:inline xmlns:a="http://schemas.openxmlformats.org/drawingml/2006/main" xmlns:pic="http://schemas.openxmlformats.org/drawingml/2006/picture">
            <wp:extent cx="5486400" cy="349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docx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1: Comparación del rango de exactitud (accuracy) por modelo en los 5 pliegues de validación cruzada.</w:t>
      </w:r>
    </w:p>
    <w:p>
      <w:r>
        <w:rPr>
          <w:b/>
        </w:rPr>
        <w:br/>
        <w:t>4. ANÁLISIS ESTADÍSTICO DE SIGNIFICANCIA</w:t>
      </w:r>
    </w:p>
    <w:p>
      <w:r>
        <w:t>Detalle de comparaciones estadísticas por pares (t-Student y Wilcoxon):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Comparación</w:t>
            </w:r>
          </w:p>
        </w:tc>
        <w:tc>
          <w:tcPr>
            <w:tcW w:type="dxa" w:w="2160"/>
          </w:tcPr>
          <w:p>
            <w:r>
              <w:t>p-valor (t-Student)</w:t>
            </w:r>
          </w:p>
        </w:tc>
        <w:tc>
          <w:tcPr>
            <w:tcW w:type="dxa" w:w="2160"/>
          </w:tcPr>
          <w:p>
            <w:r>
              <w:t>p-valor (Wilcoxon)</w:t>
            </w:r>
          </w:p>
        </w:tc>
        <w:tc>
          <w:tcPr>
            <w:tcW w:type="dxa" w:w="2160"/>
          </w:tcPr>
          <w:p>
            <w:r>
              <w:t>Interpretación</w:t>
            </w:r>
          </w:p>
        </w:tc>
      </w:tr>
      <w:tr>
        <w:tc>
          <w:tcPr>
            <w:tcW w:type="dxa" w:w="2160"/>
          </w:tcPr>
          <w:p>
            <w:r>
              <w:t>FUSION_NET vs CNN_RF</w:t>
            </w:r>
          </w:p>
        </w:tc>
        <w:tc>
          <w:tcPr>
            <w:tcW w:type="dxa" w:w="2160"/>
          </w:tcPr>
          <w:p>
            <w:r>
              <w:t>0.7686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No hay diferencia estadísticamente significativa en la exactitud entre FUSION_NET y CNN_RF (p &gt;= 0.05).</w:t>
            </w:r>
          </w:p>
        </w:tc>
      </w:tr>
    </w:tbl>
    <w:p>
      <w:r>
        <w:rPr>
          <w:b/>
        </w:rPr>
        <w:br/>
        <w:t>5. CONCLUSIÓN Y RECOMENDACIONES CLÍNICAS</w:t>
      </w:r>
    </w:p>
    <w:p>
      <w:r>
        <w:t>Con base en los resultados empíricos y validación estadística, se determina que el mejor modelo general es CNN_RF con una exactitud media de 54.85%. Este modelo ha sido guardado en la raíz del proyecto como 'best_ocular_model.h5' para su consumo directo sin necesidad de reentrenamiento.</w:t>
        <w:br/>
        <w:br/>
        <w:t>Se recomienda su integración en el sistema de soporte a decisiones médicas del hospital.</w:t>
      </w:r>
    </w:p>
    <w:p>
      <w:r>
        <w:rPr>
          <w:i/>
          <w:color w:val="808080"/>
        </w:rPr>
        <w:t>AVISO: Este informe clínico-técnico es generado de forma automatizada por un sistema de apoyo de inteligencia artificial. Las predicciones deben ser siempre validadas por personal médico y oftalmológico calificado.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