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>(Versión yy)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CD16D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Pagar recibo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CD16D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Colaborador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CD16D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Este caso de uso sirve para poder registrar el pago de un medidor o un servicio de su respectivo cliente.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Default="00275939">
      <w:pPr>
        <w:pStyle w:val="Textoindependiente"/>
      </w:pPr>
      <w:r>
        <w:t xml:space="preserve">El usuario accede a la opción “Pagar recibo” del menú “Administrar opciones”, el sistema le solicita el medio por el cual va a realizar el pago, por medio del número de cédula del cliente o por medio del número de recibo, el usuario ingresa el dato de búsqueda, el sistema realiza la búsqueda del cliente en la base de datos del acueducto, </w:t>
      </w:r>
      <w:r>
        <w:t>el sistema realiza los cálculos referentes al consumo del mes que se va a cancelar de acuerdo a la lectura actual del medidor y la lectura anterior, también verifica la fecha del sistema para saber si debe cobrarse multa si es después de la fecha diez de cada mes, o bien si es la fecha mayor al veinte de cada mes, se procede a cobrar la multa diaria y además de la multa por la reconexión, mostrando este resultado al usuario, luego este ingresa la cantidad con la que le pagaron y en caso de necesitarse el sistema calculara el cambio para el cliente restándole el monto a cobrar a la cantidad con la que pagaron.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CD16D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RF-2.1 Pagar recibo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&lt;&lt;extiende a&gt;&gt;</w:t>
      </w:r>
      <w:r w:rsidR="00CD16DA">
        <w:rPr>
          <w:rFonts w:ascii="Arial" w:hAnsi="Arial"/>
          <w:sz w:val="24"/>
          <w:lang w:val="es-MX"/>
        </w:rPr>
        <w:t xml:space="preserve"> administrar opciones.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CD16DA">
      <w:pPr>
        <w:pStyle w:val="Textoindependiente"/>
      </w:pPr>
      <w:r>
        <w:t>El usuario debe ingresar a la opción “Pagar recibo”, del menú “Administrar opciones”.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CD16DA" w:rsidP="00C74C82">
      <w:pPr>
        <w:pStyle w:val="Textoindependiente"/>
      </w:pPr>
      <w:r>
        <w:t>El sistema registra el pago de una mensualidad de un medidor.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275939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[Enumere las acciones comunes del actor y las reacciones del sistema en orden cronológico,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D16D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CD16D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a la opción “Pagar recibo” del menú “Administrar opciones”.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D16D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C74C82" w:rsidRDefault="00CD16D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le solicita al usuario el número de cédula del cliente o el número de medidor al cual quiere realizar el pago del recibo que tiene pendiente.</w:t>
            </w:r>
          </w:p>
        </w:tc>
      </w:tr>
      <w:tr w:rsidR="00CD16D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D16DA" w:rsidRDefault="00CD16D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CD16DA" w:rsidRDefault="00CD16D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elige cual es el dato que va a utilizar para realizar el pago, ya sea por número de cédula del cliente o el número de medidor.</w:t>
            </w:r>
          </w:p>
        </w:tc>
      </w:tr>
      <w:tr w:rsidR="00CD16D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D16DA" w:rsidRDefault="00CD16D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CD16DA" w:rsidRDefault="00CD16DA" w:rsidP="00CD16D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los datos brindados por el cliente (número de cédula o número de medidor) y le da en el botón de “Consultar”.</w:t>
            </w:r>
          </w:p>
        </w:tc>
      </w:tr>
      <w:tr w:rsidR="00CD16D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D16DA" w:rsidRDefault="00CD16D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CD16DA" w:rsidRDefault="00CD16D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realiza la consulta de los datos brindados por el usuario, realiza los </w:t>
            </w:r>
            <w:r w:rsidR="00275939">
              <w:rPr>
                <w:rFonts w:ascii="Arial" w:hAnsi="Arial"/>
                <w:sz w:val="24"/>
                <w:lang w:val="es-MX"/>
              </w:rPr>
              <w:t>cálculos necesarios, verificando si el número de medidor tiene multa diaria y se suma todas, así mismo si se debe el monto por reconexión se suma al total del recibo y se muestra el total a cancelar por el cliente.</w:t>
            </w:r>
          </w:p>
        </w:tc>
      </w:tr>
      <w:tr w:rsidR="00CD16D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D16DA" w:rsidRDefault="0027593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CD16DA" w:rsidRDefault="00275939" w:rsidP="0027593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procede a realizar el pago del recibo, cuando el cliente le de una confirmación de que si lo va a pagar, le da clic en el botón de “Cancelar”.</w:t>
            </w:r>
          </w:p>
        </w:tc>
      </w:tr>
      <w:tr w:rsidR="00CD16D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D16DA" w:rsidRDefault="0027593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CD16DA" w:rsidRDefault="0027593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registra el pago del recibo en la base de datos.</w:t>
            </w:r>
          </w:p>
        </w:tc>
      </w:tr>
      <w:tr w:rsidR="00275939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275939" w:rsidRDefault="0027593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</w:p>
        </w:tc>
        <w:tc>
          <w:tcPr>
            <w:tcW w:w="8080" w:type="dxa"/>
          </w:tcPr>
          <w:p w:rsidR="00275939" w:rsidRDefault="0027593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le muestra un mensaje al usuario de éxito y posteriormente imprime el recibo del pago.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275939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275939" w:rsidTr="00B76D0B">
        <w:tc>
          <w:tcPr>
            <w:tcW w:w="637" w:type="dxa"/>
          </w:tcPr>
          <w:p w:rsidR="00275939" w:rsidRDefault="00275939" w:rsidP="00B76D0B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275939" w:rsidRDefault="00275939" w:rsidP="00B76D0B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275939" w:rsidTr="00B76D0B">
        <w:tc>
          <w:tcPr>
            <w:tcW w:w="637" w:type="dxa"/>
          </w:tcPr>
          <w:p w:rsidR="00275939" w:rsidRDefault="00275939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  <w:r>
              <w:rPr>
                <w:rFonts w:ascii="Arial" w:hAnsi="Arial"/>
                <w:sz w:val="24"/>
                <w:lang w:val="es-MX"/>
              </w:rPr>
              <w:t>.1</w:t>
            </w:r>
          </w:p>
        </w:tc>
        <w:tc>
          <w:tcPr>
            <w:tcW w:w="8080" w:type="dxa"/>
          </w:tcPr>
          <w:p w:rsidR="00275939" w:rsidRDefault="00275939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Dato erróneos ingresados por el usuario, o deja el espacio sin ningún valor, el sistema procede a informar al usuario que los datos no son correctos, esto se repite hasta que los datos sean válidos para la búsqueda.</w:t>
            </w:r>
          </w:p>
        </w:tc>
      </w:tr>
      <w:tr w:rsidR="00275939" w:rsidTr="00B76D0B">
        <w:tc>
          <w:tcPr>
            <w:tcW w:w="637" w:type="dxa"/>
          </w:tcPr>
          <w:p w:rsidR="00275939" w:rsidRDefault="00275939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  <w:r>
              <w:rPr>
                <w:rFonts w:ascii="Arial" w:hAnsi="Arial"/>
                <w:sz w:val="24"/>
                <w:lang w:val="es-MX"/>
              </w:rPr>
              <w:t>.2</w:t>
            </w:r>
          </w:p>
        </w:tc>
        <w:tc>
          <w:tcPr>
            <w:tcW w:w="8080" w:type="dxa"/>
          </w:tcPr>
          <w:p w:rsidR="00275939" w:rsidRDefault="00275939" w:rsidP="0027593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Procede al paso </w:t>
            </w:r>
            <w:r>
              <w:rPr>
                <w:rFonts w:ascii="Arial" w:hAnsi="Arial"/>
                <w:sz w:val="24"/>
                <w:lang w:val="es-MX"/>
              </w:rPr>
              <w:t>5</w:t>
            </w:r>
            <w:r>
              <w:rPr>
                <w:rFonts w:ascii="Arial" w:hAnsi="Arial"/>
                <w:sz w:val="24"/>
                <w:lang w:val="es-MX"/>
              </w:rPr>
              <w:t xml:space="preserve"> del flujo típico.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275939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275939" w:rsidRDefault="00275939" w:rsidP="00275939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275939" w:rsidTr="00B76D0B">
        <w:tc>
          <w:tcPr>
            <w:tcW w:w="637" w:type="dxa"/>
          </w:tcPr>
          <w:p w:rsidR="00275939" w:rsidRDefault="00275939" w:rsidP="00B76D0B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275939" w:rsidRDefault="00275939" w:rsidP="00B76D0B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275939" w:rsidTr="00B76D0B">
        <w:tc>
          <w:tcPr>
            <w:tcW w:w="637" w:type="dxa"/>
          </w:tcPr>
          <w:p w:rsidR="00275939" w:rsidRDefault="00275939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275939" w:rsidRDefault="00275939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275939" w:rsidTr="00B76D0B">
        <w:tc>
          <w:tcPr>
            <w:tcW w:w="637" w:type="dxa"/>
          </w:tcPr>
          <w:p w:rsidR="00275939" w:rsidRDefault="00275939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275939" w:rsidRDefault="00275939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debería esperar a que se restablezca el servicio o llamar a soporte técnico.</w:t>
            </w:r>
          </w:p>
        </w:tc>
      </w:tr>
      <w:tr w:rsidR="00275939" w:rsidTr="00B76D0B">
        <w:tc>
          <w:tcPr>
            <w:tcW w:w="637" w:type="dxa"/>
          </w:tcPr>
          <w:p w:rsidR="00275939" w:rsidRDefault="00275939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275939" w:rsidRDefault="00275939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275939" w:rsidTr="00B76D0B">
        <w:tc>
          <w:tcPr>
            <w:tcW w:w="637" w:type="dxa"/>
          </w:tcPr>
          <w:p w:rsidR="00275939" w:rsidRDefault="00275939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275939" w:rsidRDefault="00275939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275939" w:rsidTr="00B76D0B">
        <w:tc>
          <w:tcPr>
            <w:tcW w:w="637" w:type="dxa"/>
          </w:tcPr>
          <w:p w:rsidR="00275939" w:rsidRDefault="00275939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275939" w:rsidRDefault="00275939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275939" w:rsidTr="00B76D0B">
        <w:tc>
          <w:tcPr>
            <w:tcW w:w="637" w:type="dxa"/>
          </w:tcPr>
          <w:p w:rsidR="00275939" w:rsidRDefault="00275939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275939" w:rsidRDefault="00275939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275939" w:rsidTr="00B76D0B">
        <w:tc>
          <w:tcPr>
            <w:tcW w:w="637" w:type="dxa"/>
          </w:tcPr>
          <w:p w:rsidR="00275939" w:rsidRDefault="00275939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275939" w:rsidRDefault="00275939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iniciar sesión</w:t>
            </w:r>
          </w:p>
        </w:tc>
      </w:tr>
      <w:tr w:rsidR="00275939" w:rsidTr="00B76D0B">
        <w:tc>
          <w:tcPr>
            <w:tcW w:w="637" w:type="dxa"/>
          </w:tcPr>
          <w:p w:rsidR="00275939" w:rsidRDefault="00275939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8080" w:type="dxa"/>
          </w:tcPr>
          <w:p w:rsidR="00275939" w:rsidRDefault="00275939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deberá ingresar nuevamente los datos.</w:t>
            </w:r>
          </w:p>
        </w:tc>
      </w:tr>
    </w:tbl>
    <w:p w:rsidR="00275939" w:rsidRDefault="00275939" w:rsidP="00275939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CA7" w:rsidRDefault="00027CA7">
      <w:r>
        <w:separator/>
      </w:r>
    </w:p>
  </w:endnote>
  <w:endnote w:type="continuationSeparator" w:id="0">
    <w:p w:rsidR="00027CA7" w:rsidRDefault="00027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CA7" w:rsidRDefault="00027CA7">
      <w:r>
        <w:separator/>
      </w:r>
    </w:p>
  </w:footnote>
  <w:footnote w:type="continuationSeparator" w:id="0">
    <w:p w:rsidR="00027CA7" w:rsidRDefault="00027C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CD16DA">
      <w:rPr>
        <w:noProof/>
        <w:lang w:val="es-MX"/>
      </w:rPr>
      <w:t>14/12/a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75939">
      <w:rPr>
        <w:rStyle w:val="Nmerodepgina"/>
        <w:noProof/>
      </w:rPr>
      <w:t>1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DA"/>
    <w:rsid w:val="00027CA7"/>
    <w:rsid w:val="00275939"/>
    <w:rsid w:val="00C74C82"/>
    <w:rsid w:val="00CD16DA"/>
    <w:rsid w:val="00DE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D1044C-4DF3-4AC5-8378-FFEB7328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GitHub\Ampliacion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20</TotalTime>
  <Pages>3</Pages>
  <Words>580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Alex</dc:creator>
  <cp:keywords/>
  <cp:lastModifiedBy>Alex Gamboa</cp:lastModifiedBy>
  <cp:revision>1</cp:revision>
  <cp:lastPrinted>1601-01-01T00:00:00Z</cp:lastPrinted>
  <dcterms:created xsi:type="dcterms:W3CDTF">2015-12-14T20:46:00Z</dcterms:created>
  <dcterms:modified xsi:type="dcterms:W3CDTF">2015-12-14T21:11:00Z</dcterms:modified>
</cp:coreProperties>
</file>