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0E317E62" w:rsidR="00531FBF" w:rsidRPr="001650C9" w:rsidRDefault="00944D65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[Date]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59063A24" w:rsidR="00531FBF" w:rsidRPr="001650C9" w:rsidRDefault="00944D65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 xml:space="preserve">[Your </w:t>
            </w:r>
            <w:r w:rsidR="00B70EF1">
              <w:rPr>
                <w:rFonts w:eastAsia="Times New Roman" w:cstheme="minorHAnsi"/>
                <w:b/>
                <w:bCs/>
              </w:rPr>
              <w:t>n</w:t>
            </w:r>
            <w:r>
              <w:rPr>
                <w:rFonts w:eastAsia="Times New Roman" w:cstheme="minorHAnsi"/>
                <w:b/>
                <w:bCs/>
              </w:rPr>
              <w:t>ame]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5401CB8" w:rsidR="00531FBF" w:rsidRPr="001650C9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273FD17E" w:rsidR="0058064D" w:rsidRPr="001650C9" w:rsidRDefault="00DE7E06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Marcus Zambito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074CA9DD" w14:textId="5B2B1CA2" w:rsidR="0032740C" w:rsidRPr="001650C9" w:rsidRDefault="0032740C" w:rsidP="00460DE5">
      <w:pPr>
        <w:suppressAutoHyphens/>
        <w:spacing w:after="0" w:line="240" w:lineRule="auto"/>
        <w:textAlignment w:val="baseline"/>
      </w:pPr>
    </w:p>
    <w:p w14:paraId="52A516CB" w14:textId="2AB366AE" w:rsidR="003726AD" w:rsidRPr="001650C9" w:rsidRDefault="00DE7E06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Artemis Financial has expressed the need to update its operations and to implement new and effective software security measures to protect its client base. </w:t>
      </w:r>
      <w:proofErr w:type="gramStart"/>
      <w:r>
        <w:rPr>
          <w:rFonts w:eastAsia="Times New Roman" w:cstheme="minorHAnsi"/>
        </w:rPr>
        <w:t>As a consultation and financial planning company, secure communications</w:t>
      </w:r>
      <w:proofErr w:type="gramEnd"/>
      <w:r>
        <w:rPr>
          <w:rFonts w:eastAsia="Times New Roman" w:cstheme="minorHAnsi"/>
        </w:rPr>
        <w:t xml:space="preserve"> are necessary for client data protection – this includes savings, finances, insurance, and sensitive personal information. Artemis Financial is </w:t>
      </w:r>
      <w:r w:rsidR="00B17EF3">
        <w:rPr>
          <w:rFonts w:eastAsia="Times New Roman" w:cstheme="minorHAnsi"/>
        </w:rPr>
        <w:t xml:space="preserve">not a Global company, requiring less adherence to different global laws. Assuming Artemis Financial is a U.S based company, the most important laws to consider are under </w:t>
      </w:r>
      <w:r w:rsidR="00B17EF3" w:rsidRPr="00B17EF3">
        <w:rPr>
          <w:rFonts w:eastAsia="Times New Roman" w:cstheme="minorHAnsi"/>
        </w:rPr>
        <w:t>The Electronic Communications Privacy Act (ECPA)</w:t>
      </w:r>
      <w:r w:rsidR="00B17EF3">
        <w:rPr>
          <w:rFonts w:eastAsia="Times New Roman" w:cstheme="minorHAnsi"/>
        </w:rPr>
        <w:t xml:space="preserve">. Current external threats are Blackhat hacker groups, which may use malware attacks, phishing attacks, and SQL injection attacks. Open-source libraries are a great </w:t>
      </w:r>
      <w:proofErr w:type="gramStart"/>
      <w:r w:rsidR="00B17EF3">
        <w:rPr>
          <w:rFonts w:eastAsia="Times New Roman" w:cstheme="minorHAnsi"/>
        </w:rPr>
        <w:t>resource, but</w:t>
      </w:r>
      <w:proofErr w:type="gramEnd"/>
      <w:r w:rsidR="00B17EF3">
        <w:rPr>
          <w:rFonts w:eastAsia="Times New Roman" w:cstheme="minorHAnsi"/>
        </w:rPr>
        <w:t xml:space="preserve"> can provide these groups with information that may allow them to use such attacks if said libraries are used. </w:t>
      </w: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5FB8531A" w14:textId="790B2D40" w:rsidR="00113667" w:rsidRDefault="00B17EF3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As </w:t>
      </w:r>
      <w:r w:rsidR="0019338E">
        <w:rPr>
          <w:rFonts w:eastAsia="Times New Roman" w:cstheme="minorHAnsi"/>
        </w:rPr>
        <w:t xml:space="preserve">a </w:t>
      </w:r>
      <w:r>
        <w:rPr>
          <w:rFonts w:eastAsia="Times New Roman" w:cstheme="minorHAnsi"/>
        </w:rPr>
        <w:t xml:space="preserve">communication and </w:t>
      </w:r>
      <w:r w:rsidR="0019338E">
        <w:rPr>
          <w:rFonts w:eastAsia="Times New Roman" w:cstheme="minorHAnsi"/>
        </w:rPr>
        <w:t>finance-based</w:t>
      </w:r>
      <w:r>
        <w:rPr>
          <w:rFonts w:eastAsia="Times New Roman" w:cstheme="minorHAnsi"/>
        </w:rPr>
        <w:t xml:space="preserve"> company, Artemis Financial has several areas to consider:</w:t>
      </w:r>
    </w:p>
    <w:p w14:paraId="1E88C6E8" w14:textId="528CB7E9" w:rsidR="00B17EF3" w:rsidRDefault="00B17EF3" w:rsidP="00B17EF3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Secure communication. HTTPS protocols can be used to protect data transmission, while employees must be kept up to speed on phishing scams. Keeping clients up to speed and informed </w:t>
      </w:r>
      <w:proofErr w:type="gramStart"/>
      <w:r>
        <w:rPr>
          <w:rFonts w:cstheme="minorHAnsi"/>
        </w:rPr>
        <w:t>on</w:t>
      </w:r>
      <w:proofErr w:type="gramEnd"/>
      <w:r>
        <w:rPr>
          <w:rFonts w:cstheme="minorHAnsi"/>
        </w:rPr>
        <w:t xml:space="preserve"> these forms of attack are also imperative. </w:t>
      </w:r>
    </w:p>
    <w:p w14:paraId="515030E3" w14:textId="1D954CE5" w:rsidR="00B17EF3" w:rsidRDefault="00B17EF3" w:rsidP="00B17EF3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Session Management. Artemis Financials software must consider user sessions security at the highest level- This includes maintenance and termination to prevent attacks from targeting these sessions. </w:t>
      </w:r>
    </w:p>
    <w:p w14:paraId="1E77E2AA" w14:textId="4E67D1D0" w:rsidR="00B17EF3" w:rsidRDefault="00B17EF3" w:rsidP="00B17EF3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Input Validation and encoding. SQL injection is a common form of attack, and proper input validation can lessen the risk of this form of attack working. Output Encoding is also important here. </w:t>
      </w:r>
    </w:p>
    <w:p w14:paraId="2718460C" w14:textId="59C11CF0" w:rsidR="00B17EF3" w:rsidRDefault="00B17EF3" w:rsidP="00B17EF3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Data protection. This, in my opinion, is the most important area. As a financial advisor and counselor, Artemis Financial will have access to huge amounts of personal data and financial information. A breach or leak of this information can impact thousands- Encryption will help keep this data secure and safe. </w:t>
      </w:r>
    </w:p>
    <w:p w14:paraId="29CA1F54" w14:textId="3C886B97" w:rsidR="00B17EF3" w:rsidRPr="00B17EF3" w:rsidRDefault="00B17EF3" w:rsidP="00B17EF3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Authentication. Artemis Financial must inform users of password management and the importance of </w:t>
      </w:r>
      <w:r w:rsidR="0019338E">
        <w:rPr>
          <w:rFonts w:cstheme="minorHAnsi"/>
        </w:rPr>
        <w:t xml:space="preserve">authorized users. </w:t>
      </w: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t xml:space="preserve">Manual </w:t>
      </w:r>
      <w:r w:rsidR="0032740C">
        <w:t>Review</w:t>
      </w:r>
      <w:bookmarkEnd w:id="18"/>
      <w:bookmarkEnd w:id="19"/>
      <w:bookmarkEnd w:id="20"/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2DEAC0C" w14:textId="051C5558" w:rsidR="00113667" w:rsidRDefault="0019338E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No major vulnerabilities jump out in manual review- though I am unable to directly view “</w:t>
      </w:r>
      <w:proofErr w:type="gramStart"/>
      <w:r>
        <w:rPr>
          <w:rFonts w:eastAsia="Times New Roman" w:cstheme="minorHAnsi"/>
        </w:rPr>
        <w:t>main</w:t>
      </w:r>
      <w:proofErr w:type="gramEnd"/>
      <w:r>
        <w:rPr>
          <w:rFonts w:eastAsia="Times New Roman" w:cstheme="minorHAnsi"/>
        </w:rPr>
        <w:t>”</w:t>
      </w:r>
    </w:p>
    <w:p w14:paraId="67A6F56A" w14:textId="77777777" w:rsidR="001240EF" w:rsidRPr="001650C9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651304DF" w:rsidR="00B03C25" w:rsidRPr="001650C9" w:rsidRDefault="00010B8A" w:rsidP="00841BCB">
      <w:pPr>
        <w:pStyle w:val="Heading2"/>
        <w:numPr>
          <w:ilvl w:val="0"/>
          <w:numId w:val="17"/>
        </w:numPr>
      </w:pPr>
      <w:bookmarkStart w:id="21" w:name="_Toc32574614"/>
      <w:bookmarkStart w:id="22" w:name="_Toc2084855340"/>
      <w:bookmarkStart w:id="23" w:name="_Toc1177730163"/>
      <w:r>
        <w:t>Static Testing</w:t>
      </w:r>
      <w:bookmarkEnd w:id="21"/>
      <w:bookmarkEnd w:id="22"/>
      <w:bookmarkEnd w:id="23"/>
    </w:p>
    <w:p w14:paraId="4BD2961C" w14:textId="77777777" w:rsidR="00113667" w:rsidRPr="00460DE5" w:rsidRDefault="00113667" w:rsidP="00460DE5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1950D642" w14:textId="7AF38701" w:rsidR="00B03C25" w:rsidRDefault="0019338E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Static testing shows at least 13 Vulnerable dependencies. These include:</w:t>
      </w:r>
    </w:p>
    <w:p w14:paraId="7153237D" w14:textId="4F3B781F" w:rsidR="0019338E" w:rsidRDefault="0019338E" w:rsidP="00113667">
      <w:pPr>
        <w:suppressAutoHyphens/>
        <w:spacing w:after="0" w:line="240" w:lineRule="auto"/>
        <w:contextualSpacing/>
      </w:pPr>
      <w:hyperlink r:id="rId13" w:anchor="l2_991c96a4e31e6c19e2b9136c8955bd423f2dc4c7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F3F3F3"/>
          </w:rPr>
          <w:t>bcprov-jdk15on-1.46.jar</w:t>
        </w:r>
      </w:hyperlink>
      <w:r>
        <w:t xml:space="preserve">- Some versions are vulnerable to timing side-channel attacks, plaintext recovery attacks, and crafted elliptic curve key exchanges. Documentation for these vulnerabilities was provided by </w:t>
      </w:r>
      <w:proofErr w:type="gramStart"/>
      <w:r>
        <w:t>SHA1</w:t>
      </w:r>
      <w:proofErr w:type="gramEnd"/>
    </w:p>
    <w:p w14:paraId="615A2C8D" w14:textId="76D733E7" w:rsidR="0019338E" w:rsidRDefault="0019338E" w:rsidP="00113667">
      <w:pPr>
        <w:suppressAutoHyphens/>
        <w:spacing w:after="0" w:line="240" w:lineRule="auto"/>
        <w:contextualSpacing/>
      </w:pPr>
      <w:hyperlink r:id="rId14" w:anchor="l3_225a4fd31156c254e3bb92adb42ee8c6de812714" w:history="1">
        <w:r>
          <w:rPr>
            <w:rStyle w:val="Hyperlink"/>
            <w:rFonts w:ascii="Arial" w:hAnsi="Arial" w:cs="Arial"/>
            <w:sz w:val="20"/>
            <w:szCs w:val="20"/>
          </w:rPr>
          <w:t>spring-boot-2.2.4.RELEASE.jar</w:t>
        </w:r>
      </w:hyperlink>
      <w:r>
        <w:t xml:space="preserve">- Unable to detect directory Hijacking in some versions. This is no longer an </w:t>
      </w:r>
      <w:proofErr w:type="gramStart"/>
      <w:r>
        <w:t>issue, but</w:t>
      </w:r>
      <w:proofErr w:type="gramEnd"/>
      <w:r>
        <w:t xml:space="preserve"> should be considered. </w:t>
      </w:r>
    </w:p>
    <w:p w14:paraId="2FF0BBA0" w14:textId="78D71673" w:rsidR="0019338E" w:rsidRDefault="0019338E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hyperlink r:id="rId15" w:anchor="l4_864344400c3d4d92dfeb0a305dc87d953677c03c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F3F3F3"/>
          </w:rPr>
          <w:t>logback-core-1.2.3.jar</w:t>
        </w:r>
      </w:hyperlink>
      <w:r w:rsidR="00F5298A">
        <w:t xml:space="preserve">- versions 1.2.7 and below allowed an attacker with required privileges to edit config files. Be sure to keep up to date. </w:t>
      </w:r>
    </w:p>
    <w:p w14:paraId="32074F65" w14:textId="0B98D121" w:rsidR="0019338E" w:rsidRDefault="0019338E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hyperlink r:id="rId16" w:anchor="l5_a55e6d987f50a515c9260b0451b4fa217dc539cb" w:history="1">
        <w:r>
          <w:rPr>
            <w:rStyle w:val="Hyperlink"/>
            <w:rFonts w:ascii="Arial" w:hAnsi="Arial" w:cs="Arial"/>
            <w:sz w:val="20"/>
            <w:szCs w:val="20"/>
          </w:rPr>
          <w:t>log4j-api-2.12.1.jar</w:t>
        </w:r>
      </w:hyperlink>
      <w:r w:rsidR="00F5298A">
        <w:t xml:space="preserve">-improper validation allowed “man in the middle” attacks to leak log messages. </w:t>
      </w:r>
      <w:proofErr w:type="spellStart"/>
      <w:r w:rsidR="00F5298A">
        <w:t>Fixxed</w:t>
      </w:r>
      <w:proofErr w:type="spellEnd"/>
      <w:r w:rsidR="00F5298A">
        <w:t xml:space="preserve"> with </w:t>
      </w:r>
      <w:proofErr w:type="spellStart"/>
      <w:r w:rsidR="00F5298A">
        <w:t>apache</w:t>
      </w:r>
      <w:proofErr w:type="spellEnd"/>
      <w:r w:rsidR="00F5298A">
        <w:t xml:space="preserve"> log4j 2.12.3</w:t>
      </w:r>
    </w:p>
    <w:p w14:paraId="7B35C684" w14:textId="102AAFD8" w:rsidR="00113667" w:rsidRDefault="0019338E" w:rsidP="00113667">
      <w:pPr>
        <w:suppressAutoHyphens/>
        <w:spacing w:after="0" w:line="240" w:lineRule="auto"/>
        <w:contextualSpacing/>
      </w:pPr>
      <w:hyperlink r:id="rId17" w:anchor="l8_8b6e01ef661d8378ae6dd7b511a7f2a33fae1421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F3F3F3"/>
          </w:rPr>
          <w:t>snakeyaml-1.25.jar</w:t>
        </w:r>
      </w:hyperlink>
      <w:r w:rsidR="00F5298A">
        <w:t xml:space="preserve">- Versions below 1.26 allow entity expansion during loading. Keep up to </w:t>
      </w:r>
      <w:proofErr w:type="gramStart"/>
      <w:r w:rsidR="00F5298A">
        <w:t>date</w:t>
      </w:r>
      <w:proofErr w:type="gramEnd"/>
    </w:p>
    <w:p w14:paraId="0E8B5361" w14:textId="21CF53AE" w:rsidR="0019338E" w:rsidRDefault="0019338E" w:rsidP="00113667">
      <w:pPr>
        <w:suppressAutoHyphens/>
        <w:spacing w:after="0" w:line="240" w:lineRule="auto"/>
        <w:contextualSpacing/>
      </w:pPr>
      <w:hyperlink r:id="rId18" w:anchor="l9_0528de95f198afafbcfb0c09d2e43b6e0ea663ec" w:history="1">
        <w:r>
          <w:rPr>
            <w:rStyle w:val="Hyperlink"/>
            <w:rFonts w:ascii="Arial" w:hAnsi="Arial" w:cs="Arial"/>
            <w:sz w:val="20"/>
            <w:szCs w:val="20"/>
          </w:rPr>
          <w:t>jackson-databind-2.10.2.jar</w:t>
        </w:r>
      </w:hyperlink>
      <w:r w:rsidR="00F5298A">
        <w:t xml:space="preserve">- A flaw in </w:t>
      </w:r>
      <w:proofErr w:type="spellStart"/>
      <w:r w:rsidR="00F5298A">
        <w:t>FasterXML</w:t>
      </w:r>
      <w:proofErr w:type="spellEnd"/>
      <w:r w:rsidR="00F5298A">
        <w:t xml:space="preserve"> </w:t>
      </w:r>
      <w:proofErr w:type="spellStart"/>
      <w:r w:rsidR="00F5298A">
        <w:t>Databind</w:t>
      </w:r>
      <w:proofErr w:type="spellEnd"/>
      <w:r w:rsidR="00F5298A">
        <w:t xml:space="preserve"> allowed entity expansion, which created vulnerabilities to XXE attacks. Disabling this function should be enough to prevent this flaw. </w:t>
      </w:r>
    </w:p>
    <w:p w14:paraId="33107B9F" w14:textId="02826C4D" w:rsidR="0019338E" w:rsidRDefault="0019338E" w:rsidP="00113667">
      <w:pPr>
        <w:suppressAutoHyphens/>
        <w:spacing w:after="0" w:line="240" w:lineRule="auto"/>
        <w:contextualSpacing/>
      </w:pPr>
      <w:hyperlink r:id="rId19" w:anchor="l13_ad32909314fe2ba02cec036434c0addd19bcc580" w:history="1">
        <w:r>
          <w:rPr>
            <w:rStyle w:val="Hyperlink"/>
            <w:rFonts w:ascii="Arial" w:hAnsi="Arial" w:cs="Arial"/>
            <w:sz w:val="20"/>
            <w:szCs w:val="20"/>
          </w:rPr>
          <w:t>tomcat-embed-core-9.0.30.jar</w:t>
        </w:r>
      </w:hyperlink>
      <w:r w:rsidR="00F5298A">
        <w:t>- Unlikely issue involved with reverse proxy Transfer-encoding. Highly unlikely, simply do not try to replicate.</w:t>
      </w:r>
    </w:p>
    <w:p w14:paraId="4B9D982D" w14:textId="555CACF9" w:rsidR="0019338E" w:rsidRDefault="0019338E" w:rsidP="00113667">
      <w:pPr>
        <w:suppressAutoHyphens/>
        <w:spacing w:after="0" w:line="240" w:lineRule="auto"/>
        <w:contextualSpacing/>
      </w:pPr>
      <w:hyperlink r:id="rId20" w:anchor="l16_7fd00bcd87e14b6ba66279282ef15efa30dd2492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F3F3F3"/>
          </w:rPr>
          <w:t>hibernate-validator-6.0.18.Final.jar</w:t>
        </w:r>
      </w:hyperlink>
      <w:r w:rsidR="00F5298A">
        <w:t xml:space="preserve">- Hibernate Validator in version 6.1.2 allowed attackers to bypass input sanitation. Recommendation to not use. </w:t>
      </w:r>
    </w:p>
    <w:p w14:paraId="7F387492" w14:textId="3C924C1A" w:rsidR="0019338E" w:rsidRDefault="0019338E" w:rsidP="00113667">
      <w:pPr>
        <w:suppressAutoHyphens/>
        <w:spacing w:after="0" w:line="240" w:lineRule="auto"/>
        <w:contextualSpacing/>
      </w:pPr>
      <w:hyperlink r:id="rId21" w:anchor="l19_dd386a02e40b915ab400a3bf9f586d2dc4c0852c" w:history="1">
        <w:r>
          <w:rPr>
            <w:rStyle w:val="Hyperlink"/>
            <w:rFonts w:ascii="Arial" w:hAnsi="Arial" w:cs="Arial"/>
            <w:sz w:val="20"/>
            <w:szCs w:val="20"/>
          </w:rPr>
          <w:t>spring-web-5.2.3.RELEASE.jar</w:t>
        </w:r>
      </w:hyperlink>
      <w:r w:rsidR="00F5298A">
        <w:t xml:space="preserve">-Remote code execution issue if used for Java deserialization. Do not </w:t>
      </w:r>
      <w:proofErr w:type="gramStart"/>
      <w:r w:rsidR="00F5298A">
        <w:t>use with</w:t>
      </w:r>
      <w:proofErr w:type="gramEnd"/>
      <w:r w:rsidR="00F5298A">
        <w:t xml:space="preserve"> untrusted data, according to vendor. </w:t>
      </w:r>
    </w:p>
    <w:p w14:paraId="010FA767" w14:textId="3A6523FF" w:rsidR="0019338E" w:rsidRDefault="0019338E" w:rsidP="00113667">
      <w:pPr>
        <w:suppressAutoHyphens/>
        <w:spacing w:after="0" w:line="240" w:lineRule="auto"/>
        <w:contextualSpacing/>
      </w:pPr>
      <w:hyperlink r:id="rId22" w:anchor="l20_0250c8c641433dc06b1b44e4563fa08a2fbf8954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F3F3F3"/>
          </w:rPr>
          <w:t>spring-beans-5.2.3.RELEASE.jar</w:t>
        </w:r>
      </w:hyperlink>
      <w:r w:rsidR="00F5298A">
        <w:t xml:space="preserve">-Older versions susceptible to malicious input from users. Keep up to date according to Vendor releases. </w:t>
      </w:r>
    </w:p>
    <w:p w14:paraId="4435B40F" w14:textId="44B63CBF" w:rsidR="0019338E" w:rsidRDefault="0019338E" w:rsidP="00113667">
      <w:pPr>
        <w:suppressAutoHyphens/>
        <w:spacing w:after="0" w:line="240" w:lineRule="auto"/>
        <w:contextualSpacing/>
      </w:pPr>
      <w:hyperlink r:id="rId23" w:anchor="l22_7750c95c96c7a1885c8b1b503ba915bc33ca579a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F3F3F3"/>
          </w:rPr>
          <w:t>spring-context-5.2.3.RELEASE.jar</w:t>
        </w:r>
      </w:hyperlink>
      <w:r w:rsidR="00F5298A">
        <w:t xml:space="preserve">- Older versions allow for characters to be placed in disallowed fields. Recommended to keep </w:t>
      </w:r>
      <w:proofErr w:type="gramStart"/>
      <w:r w:rsidR="00F5298A">
        <w:t>up  to</w:t>
      </w:r>
      <w:proofErr w:type="gramEnd"/>
      <w:r w:rsidR="00F5298A">
        <w:t xml:space="preserve"> date according to Vendor releases. </w:t>
      </w:r>
    </w:p>
    <w:p w14:paraId="2D32F33D" w14:textId="0F82BD68" w:rsidR="0019338E" w:rsidRPr="001650C9" w:rsidRDefault="0019338E" w:rsidP="00113667">
      <w:pPr>
        <w:suppressAutoHyphens/>
        <w:spacing w:after="0" w:line="240" w:lineRule="auto"/>
        <w:contextualSpacing/>
        <w:rPr>
          <w:rFonts w:cstheme="minorHAnsi"/>
        </w:rPr>
      </w:pPr>
      <w:hyperlink r:id="rId24" w:anchor="l23_d0c6bb10758805b2153c589686b8045554bfac2d" w:history="1">
        <w:r>
          <w:rPr>
            <w:rStyle w:val="Hyperlink"/>
            <w:rFonts w:ascii="Arial" w:hAnsi="Arial" w:cs="Arial"/>
            <w:sz w:val="20"/>
            <w:szCs w:val="20"/>
          </w:rPr>
          <w:t>spring-expression-5.2.3.RELEASE.jar</w:t>
        </w:r>
      </w:hyperlink>
      <w:r w:rsidR="00F5298A">
        <w:t xml:space="preserve">-Denial of service issues with unsupported versions. As before, keep up to date according to Vendor releases. </w:t>
      </w:r>
    </w:p>
    <w:p w14:paraId="4EC5AC93" w14:textId="6A5A9BF2" w:rsidR="00485402" w:rsidRPr="001650C9" w:rsidRDefault="00010B8A" w:rsidP="00841BCB">
      <w:pPr>
        <w:pStyle w:val="Heading2"/>
        <w:numPr>
          <w:ilvl w:val="0"/>
          <w:numId w:val="17"/>
        </w:numPr>
      </w:pPr>
      <w:bookmarkStart w:id="24" w:name="_Toc32574615"/>
      <w:bookmarkStart w:id="25" w:name="_Toc1123873671"/>
      <w:bookmarkStart w:id="26" w:name="_Toc1778408404"/>
      <w:r>
        <w:t>Mitigation Plan</w:t>
      </w:r>
      <w:bookmarkEnd w:id="24"/>
      <w:bookmarkEnd w:id="25"/>
      <w:bookmarkEnd w:id="26"/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397570E0" w14:textId="3EB42316" w:rsidR="00974AE3" w:rsidRPr="001650C9" w:rsidRDefault="00F5298A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Mitigation solutions are listed alongside vulnerabilities.</w:t>
      </w:r>
    </w:p>
    <w:sectPr w:rsidR="00974AE3" w:rsidRPr="001650C9" w:rsidSect="00C41B36">
      <w:headerReference w:type="default" r:id="rId25"/>
      <w:footerReference w:type="even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FD0E8" w14:textId="77777777" w:rsidR="00206700" w:rsidRDefault="00206700" w:rsidP="002F3F84">
      <w:r>
        <w:separator/>
      </w:r>
    </w:p>
  </w:endnote>
  <w:endnote w:type="continuationSeparator" w:id="0">
    <w:p w14:paraId="766A521F" w14:textId="77777777" w:rsidR="00206700" w:rsidRDefault="00206700" w:rsidP="002F3F84">
      <w:r>
        <w:continuationSeparator/>
      </w:r>
    </w:p>
  </w:endnote>
  <w:endnote w:type="continuationNotice" w:id="1">
    <w:p w14:paraId="31F09DAC" w14:textId="77777777" w:rsidR="00206700" w:rsidRDefault="002067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9700C" w14:textId="77777777" w:rsidR="00206700" w:rsidRDefault="00206700" w:rsidP="002F3F84">
      <w:r>
        <w:separator/>
      </w:r>
    </w:p>
  </w:footnote>
  <w:footnote w:type="continuationSeparator" w:id="0">
    <w:p w14:paraId="1AA46CA5" w14:textId="77777777" w:rsidR="00206700" w:rsidRDefault="00206700" w:rsidP="002F3F84">
      <w:r>
        <w:continuationSeparator/>
      </w:r>
    </w:p>
  </w:footnote>
  <w:footnote w:type="continuationNotice" w:id="1">
    <w:p w14:paraId="6A648C45" w14:textId="77777777" w:rsidR="00206700" w:rsidRDefault="002067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2423E"/>
    <w:multiLevelType w:val="hybridMultilevel"/>
    <w:tmpl w:val="82FA47F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0670332">
    <w:abstractNumId w:val="15"/>
  </w:num>
  <w:num w:numId="2" w16cid:durableId="332224937">
    <w:abstractNumId w:val="1"/>
  </w:num>
  <w:num w:numId="3" w16cid:durableId="671421398">
    <w:abstractNumId w:val="4"/>
  </w:num>
  <w:num w:numId="4" w16cid:durableId="465970908">
    <w:abstractNumId w:val="10"/>
  </w:num>
  <w:num w:numId="5" w16cid:durableId="1122767499">
    <w:abstractNumId w:val="9"/>
  </w:num>
  <w:num w:numId="6" w16cid:durableId="1602376969">
    <w:abstractNumId w:val="8"/>
  </w:num>
  <w:num w:numId="7" w16cid:durableId="2043438417">
    <w:abstractNumId w:val="5"/>
  </w:num>
  <w:num w:numId="8" w16cid:durableId="476990583">
    <w:abstractNumId w:val="12"/>
  </w:num>
  <w:num w:numId="9" w16cid:durableId="893464212">
    <w:abstractNumId w:val="11"/>
    <w:lvlOverride w:ilvl="0">
      <w:lvl w:ilvl="0">
        <w:numFmt w:val="lowerLetter"/>
        <w:lvlText w:val="%1."/>
        <w:lvlJc w:val="left"/>
      </w:lvl>
    </w:lvlOverride>
  </w:num>
  <w:num w:numId="10" w16cid:durableId="559944453">
    <w:abstractNumId w:val="6"/>
  </w:num>
  <w:num w:numId="11" w16cid:durableId="1008797605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1421491086">
    <w:abstractNumId w:val="0"/>
  </w:num>
  <w:num w:numId="13" w16cid:durableId="1873110609">
    <w:abstractNumId w:val="13"/>
  </w:num>
  <w:num w:numId="14" w16cid:durableId="1396004083">
    <w:abstractNumId w:val="7"/>
  </w:num>
  <w:num w:numId="15" w16cid:durableId="271280040">
    <w:abstractNumId w:val="3"/>
  </w:num>
  <w:num w:numId="16" w16cid:durableId="914824889">
    <w:abstractNumId w:val="16"/>
  </w:num>
  <w:num w:numId="17" w16cid:durableId="1604606865">
    <w:abstractNumId w:val="17"/>
  </w:num>
  <w:num w:numId="18" w16cid:durableId="4921862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3798F"/>
    <w:rsid w:val="00052476"/>
    <w:rsid w:val="000D2A1B"/>
    <w:rsid w:val="000D4B1E"/>
    <w:rsid w:val="00113667"/>
    <w:rsid w:val="001240EF"/>
    <w:rsid w:val="001650C9"/>
    <w:rsid w:val="00187548"/>
    <w:rsid w:val="0019338E"/>
    <w:rsid w:val="001A381D"/>
    <w:rsid w:val="001C55A7"/>
    <w:rsid w:val="001E5399"/>
    <w:rsid w:val="00206700"/>
    <w:rsid w:val="002079DF"/>
    <w:rsid w:val="00225BE2"/>
    <w:rsid w:val="00226919"/>
    <w:rsid w:val="00234FC3"/>
    <w:rsid w:val="00250101"/>
    <w:rsid w:val="00262D50"/>
    <w:rsid w:val="00266758"/>
    <w:rsid w:val="00271E26"/>
    <w:rsid w:val="002778D5"/>
    <w:rsid w:val="00281DF1"/>
    <w:rsid w:val="00283B7F"/>
    <w:rsid w:val="002B1BE5"/>
    <w:rsid w:val="002D79BF"/>
    <w:rsid w:val="002DA730"/>
    <w:rsid w:val="002F3F84"/>
    <w:rsid w:val="00321D27"/>
    <w:rsid w:val="0032740C"/>
    <w:rsid w:val="00352FD0"/>
    <w:rsid w:val="003726AD"/>
    <w:rsid w:val="0037344C"/>
    <w:rsid w:val="00393181"/>
    <w:rsid w:val="003A0BF9"/>
    <w:rsid w:val="003E399D"/>
    <w:rsid w:val="003E5350"/>
    <w:rsid w:val="003F32E7"/>
    <w:rsid w:val="003F4787"/>
    <w:rsid w:val="00460DE5"/>
    <w:rsid w:val="0046151B"/>
    <w:rsid w:val="00462F70"/>
    <w:rsid w:val="004802CA"/>
    <w:rsid w:val="00485402"/>
    <w:rsid w:val="004D2055"/>
    <w:rsid w:val="004D476B"/>
    <w:rsid w:val="00522199"/>
    <w:rsid w:val="00523478"/>
    <w:rsid w:val="00531FBF"/>
    <w:rsid w:val="00532A24"/>
    <w:rsid w:val="00544AC4"/>
    <w:rsid w:val="005479D5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C197D"/>
    <w:rsid w:val="006C3269"/>
    <w:rsid w:val="006F2F77"/>
    <w:rsid w:val="00701A84"/>
    <w:rsid w:val="007033DB"/>
    <w:rsid w:val="007415E6"/>
    <w:rsid w:val="00760100"/>
    <w:rsid w:val="007617B2"/>
    <w:rsid w:val="00761B04"/>
    <w:rsid w:val="00776757"/>
    <w:rsid w:val="00811600"/>
    <w:rsid w:val="00812410"/>
    <w:rsid w:val="00841BCB"/>
    <w:rsid w:val="00847593"/>
    <w:rsid w:val="00861EC1"/>
    <w:rsid w:val="008E7E10"/>
    <w:rsid w:val="008F26B4"/>
    <w:rsid w:val="0090104E"/>
    <w:rsid w:val="00921C2E"/>
    <w:rsid w:val="00940B1A"/>
    <w:rsid w:val="00944D65"/>
    <w:rsid w:val="00966538"/>
    <w:rsid w:val="009714E8"/>
    <w:rsid w:val="00974AE3"/>
    <w:rsid w:val="009774F3"/>
    <w:rsid w:val="009B0AA5"/>
    <w:rsid w:val="009B1496"/>
    <w:rsid w:val="009C11B9"/>
    <w:rsid w:val="009C6202"/>
    <w:rsid w:val="00A12BCB"/>
    <w:rsid w:val="00A45B2C"/>
    <w:rsid w:val="00A472D7"/>
    <w:rsid w:val="00A57A92"/>
    <w:rsid w:val="00A71C4B"/>
    <w:rsid w:val="00A728D4"/>
    <w:rsid w:val="00A9068B"/>
    <w:rsid w:val="00AE5B33"/>
    <w:rsid w:val="00AF1198"/>
    <w:rsid w:val="00AF4C03"/>
    <w:rsid w:val="00B03C25"/>
    <w:rsid w:val="00B1598A"/>
    <w:rsid w:val="00B1648E"/>
    <w:rsid w:val="00B17EF3"/>
    <w:rsid w:val="00B20F52"/>
    <w:rsid w:val="00B31D4B"/>
    <w:rsid w:val="00B35185"/>
    <w:rsid w:val="00B46BAB"/>
    <w:rsid w:val="00B50C83"/>
    <w:rsid w:val="00B66A6E"/>
    <w:rsid w:val="00B70EF1"/>
    <w:rsid w:val="00BB1033"/>
    <w:rsid w:val="00BD4019"/>
    <w:rsid w:val="00BF2E4C"/>
    <w:rsid w:val="00C06A29"/>
    <w:rsid w:val="00C41B36"/>
    <w:rsid w:val="00C56FC2"/>
    <w:rsid w:val="00C8056A"/>
    <w:rsid w:val="00C94751"/>
    <w:rsid w:val="00CB16D1"/>
    <w:rsid w:val="00CB2008"/>
    <w:rsid w:val="00CD774B"/>
    <w:rsid w:val="00CE44E9"/>
    <w:rsid w:val="00CF0E92"/>
    <w:rsid w:val="00D000D3"/>
    <w:rsid w:val="00D11EFC"/>
    <w:rsid w:val="00D247D6"/>
    <w:rsid w:val="00D27FB4"/>
    <w:rsid w:val="00D8455A"/>
    <w:rsid w:val="00DB63D9"/>
    <w:rsid w:val="00DC2970"/>
    <w:rsid w:val="00DD3256"/>
    <w:rsid w:val="00DE7E06"/>
    <w:rsid w:val="00E02BD0"/>
    <w:rsid w:val="00E2188F"/>
    <w:rsid w:val="00E2280C"/>
    <w:rsid w:val="00E66FC0"/>
    <w:rsid w:val="00EE3EAE"/>
    <w:rsid w:val="00F143F0"/>
    <w:rsid w:val="00F41864"/>
    <w:rsid w:val="00F5298A"/>
    <w:rsid w:val="00F66C9E"/>
    <w:rsid w:val="00F67F76"/>
    <w:rsid w:val="00F908A6"/>
    <w:rsid w:val="00FA29B4"/>
    <w:rsid w:val="00FA58FA"/>
    <w:rsid w:val="00FD596B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marcc\eclipse-workspace\JavaWorkspace\rest-service\target\dependency-check-report.html" TargetMode="External"/><Relationship Id="rId18" Type="http://schemas.openxmlformats.org/officeDocument/2006/relationships/hyperlink" Target="file:///C:\Users\marcc\eclipse-workspace\JavaWorkspace\rest-service\target\dependency-check-report.html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file:///C:\Users\marcc\eclipse-workspace\JavaWorkspace\rest-service\target\dependency-check-report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file:///C:\Users\marcc\eclipse-workspace\JavaWorkspace\rest-service\target\dependency-check-report.html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marcc\eclipse-workspace\JavaWorkspace\rest-service\target\dependency-check-report.html" TargetMode="External"/><Relationship Id="rId20" Type="http://schemas.openxmlformats.org/officeDocument/2006/relationships/hyperlink" Target="file:///C:\Users\marcc\eclipse-workspace\JavaWorkspace\rest-service\target\dependency-check-report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file:///C:\Users\marcc\eclipse-workspace\JavaWorkspace\rest-service\target\dependency-check-report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file:///C:\Users\marcc\eclipse-workspace\JavaWorkspace\rest-service\target\dependency-check-report.html" TargetMode="External"/><Relationship Id="rId23" Type="http://schemas.openxmlformats.org/officeDocument/2006/relationships/hyperlink" Target="file:///C:\Users\marcc\eclipse-workspace\JavaWorkspace\rest-service\target\dependency-check-report.html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file:///C:\Users\marcc\eclipse-workspace\JavaWorkspace\rest-service\target\dependency-check-report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marcc\eclipse-workspace\JavaWorkspace\rest-service\target\dependency-check-report.html" TargetMode="External"/><Relationship Id="rId22" Type="http://schemas.openxmlformats.org/officeDocument/2006/relationships/hyperlink" Target="file:///C:\Users\marcc\eclipse-workspace\JavaWorkspace\rest-service\target\dependency-check-report.html" TargetMode="External"/><Relationship Id="rId27" Type="http://schemas.openxmlformats.org/officeDocument/2006/relationships/footer" Target="footer2.xml"/><Relationship Id="rId30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Zambito, Marcus</cp:lastModifiedBy>
  <cp:revision>2</cp:revision>
  <dcterms:created xsi:type="dcterms:W3CDTF">2023-09-24T18:27:00Z</dcterms:created>
  <dcterms:modified xsi:type="dcterms:W3CDTF">2023-09-24T18:27:00Z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