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F169" w14:textId="393246DC" w:rsidR="00A74745" w:rsidRDefault="00BF0A34" w:rsidP="004865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Purpose:</w:t>
      </w: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="004865F4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</w:p>
    <w:p w14:paraId="09E34D8C" w14:textId="5D2BDEF9" w:rsidR="004865F4" w:rsidRPr="00626305" w:rsidRDefault="004865F4" w:rsidP="004865F4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The purpose of this document is to explore </w:t>
      </w:r>
      <w:r w:rsidR="00CF2ED3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a mature skeleton and format to deliver a pre-funding whitepaper as part of any </w:t>
      </w:r>
      <w:r w:rsidR="00636590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IT architecture activity. </w:t>
      </w:r>
    </w:p>
    <w:p w14:paraId="5375CF1E" w14:textId="77777777" w:rsidR="00636590" w:rsidRPr="00626305" w:rsidRDefault="00636590" w:rsidP="004865F4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</w:p>
    <w:p w14:paraId="772AA072" w14:textId="2B129A67" w:rsidR="0038044D" w:rsidRPr="00626305" w:rsidRDefault="001977CE" w:rsidP="00D52E5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This whitepaper framework</w:t>
      </w:r>
      <w:r w:rsidR="00B75D0A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</w:t>
      </w:r>
      <w:r w:rsidR="00636590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provide</w:t>
      </w:r>
      <w:r w:rsidR="00B75D0A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</w:t>
      </w:r>
      <w:r w:rsidR="0003421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structure</w:t>
      </w:r>
      <w:r w:rsidR="00D52E52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(</w:t>
      </w:r>
      <w:r w:rsidR="00636590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along with </w:t>
      </w:r>
      <w:r w:rsidR="004F4F57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section phases which indicate what content should be described in each section</w:t>
      </w:r>
      <w:r w:rsidR="00D52E52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)</w:t>
      </w:r>
      <w:r w:rsidR="00BA2A7D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.</w:t>
      </w:r>
      <w:r w:rsidR="0038044D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</w:t>
      </w:r>
    </w:p>
    <w:p w14:paraId="76CA1877" w14:textId="16CCE419" w:rsidR="00636590" w:rsidRPr="00626305" w:rsidRDefault="003F2AA7" w:rsidP="0038044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This </w:t>
      </w:r>
      <w:r w:rsidR="005E3ABF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whitepaper </w:t>
      </w:r>
      <w:r w:rsidR="005E3ABF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template</w:t>
      </w:r>
      <w:r w:rsidR="005E3ABF" w:rsidRPr="00626305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</w:t>
      </w:r>
      <w:r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includes </w:t>
      </w:r>
      <w:r w:rsidR="001531B3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some guidance per section (</w:t>
      </w:r>
      <w:r w:rsidR="00DF41DA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in </w:t>
      </w:r>
      <w:r w:rsidR="00676674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technology projects are often</w:t>
      </w:r>
      <w:r w:rsidR="005D56BD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</w:t>
      </w:r>
      <w:r w:rsidR="00DF41DA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collaraborating </w:t>
      </w:r>
      <w:r w:rsidR="00F223DD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via </w:t>
      </w:r>
      <w:r w:rsidR="00AC079B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cross-functional teams, hence structure and clarity are important</w:t>
      </w:r>
      <w:r w:rsidR="001531B3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)</w:t>
      </w:r>
      <w:r w:rsidR="005E3ABF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.</w:t>
      </w:r>
    </w:p>
    <w:p w14:paraId="4C11CF8E" w14:textId="77777777" w:rsidR="00CF2ED3" w:rsidRDefault="00CF2ED3" w:rsidP="004865F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D90DD13" w14:textId="77777777" w:rsidR="0091790C" w:rsidRPr="00626305" w:rsidRDefault="0091790C" w:rsidP="00626305">
      <w:r w:rsidRPr="00626305">
        <w:br w:type="page"/>
      </w:r>
    </w:p>
    <w:p w14:paraId="334CB497" w14:textId="073E8EF1" w:rsidR="0091790C" w:rsidRPr="00644E76" w:rsidRDefault="009954A0" w:rsidP="0091790C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lastRenderedPageBreak/>
        <w:t xml:space="preserve">Whitepaper: </w:t>
      </w:r>
      <w:r w:rsidR="009D0CC1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Enterprise </w:t>
      </w: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PKI/Certificate</w:t>
      </w:r>
    </w:p>
    <w:p w14:paraId="20B8CC6A" w14:textId="77777777" w:rsidR="0091790C" w:rsidRDefault="0091790C" w:rsidP="0091790C">
      <w:pPr>
        <w:keepNext/>
        <w:keepLines/>
        <w:spacing w:after="0" w:line="240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</w:p>
    <w:p w14:paraId="6C86C3E4" w14:textId="1A83CBD6" w:rsidR="0091790C" w:rsidRPr="004A184B" w:rsidRDefault="0091790C" w:rsidP="0091790C">
      <w:pPr>
        <w:keepNext/>
        <w:keepLines/>
        <w:spacing w:after="0" w:line="240" w:lineRule="auto"/>
        <w:outlineLvl w:val="0"/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Status: Draft</w:t>
      </w:r>
      <w:r w:rsidR="0082302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r w:rsidR="00823027" w:rsidRPr="004A184B">
        <w:t xml:space="preserve">| </w:t>
      </w:r>
      <w:r w:rsidR="001D38D7" w:rsidRPr="004A184B">
        <w:t xml:space="preserve">[ </w:t>
      </w:r>
      <w:r w:rsidR="00823027" w:rsidRPr="004A184B">
        <w:rPr>
          <w:i/>
          <w:iCs/>
        </w:rPr>
        <w:t>skelton provided for tailoring</w:t>
      </w:r>
      <w:r w:rsidR="001D38D7" w:rsidRPr="004A184B">
        <w:rPr>
          <w:i/>
          <w:iCs/>
        </w:rPr>
        <w:t xml:space="preserve"> to </w:t>
      </w:r>
      <w:r w:rsidR="00F82AAD" w:rsidRPr="004A184B">
        <w:rPr>
          <w:i/>
          <w:iCs/>
        </w:rPr>
        <w:t>c</w:t>
      </w:r>
      <w:r w:rsidR="001D38D7" w:rsidRPr="004A184B">
        <w:rPr>
          <w:i/>
          <w:iCs/>
        </w:rPr>
        <w:t>utomer requirements</w:t>
      </w:r>
      <w:r w:rsidR="001D38D7" w:rsidRPr="004A184B">
        <w:t xml:space="preserve"> ]</w:t>
      </w:r>
    </w:p>
    <w:p w14:paraId="47BFEAA4" w14:textId="77777777" w:rsidR="009F31B9" w:rsidRDefault="009F31B9" w:rsidP="0091790C">
      <w:pPr>
        <w:keepNext/>
        <w:keepLines/>
        <w:spacing w:after="0" w:line="240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</w:p>
    <w:p w14:paraId="55C9A498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Executive Summary</w:t>
      </w:r>
    </w:p>
    <w:p w14:paraId="33BC3C7A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One-page overview of the problem, opportunity, and high-level recommendation.</w:t>
      </w:r>
    </w:p>
    <w:p w14:paraId="5768E551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Tailored for senior decision-makers or investment committees.</w:t>
      </w:r>
    </w:p>
    <w:p w14:paraId="6E323BD3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Purpose &amp; Objectives</w:t>
      </w:r>
    </w:p>
    <w:p w14:paraId="182E00F8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Why this whitepaper exists and what it aims to accomplish.</w:t>
      </w:r>
    </w:p>
    <w:p w14:paraId="37E7F28D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Strategic goals aligned with business or IT transformation.</w:t>
      </w:r>
    </w:p>
    <w:p w14:paraId="5850D780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Background &amp; Context</w:t>
      </w:r>
    </w:p>
    <w:p w14:paraId="30681FE5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Describe current-state context (organizational, technical, and business).</w:t>
      </w:r>
    </w:p>
    <w:p w14:paraId="259C583A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Highlight known legacy issues or pain points.</w:t>
      </w:r>
    </w:p>
    <w:p w14:paraId="79F18035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Problem Statement</w:t>
      </w:r>
    </w:p>
    <w:p w14:paraId="40D07AF9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Clearly define the challenge, risk, or limitation (technical and business).</w:t>
      </w:r>
    </w:p>
    <w:p w14:paraId="190A76E7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Should resonate with both CIO/CISO and business stakeholders.</w:t>
      </w:r>
    </w:p>
    <w:p w14:paraId="41804A98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Drivers for Change</w:t>
      </w:r>
    </w:p>
    <w:p w14:paraId="71BA786A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Security, compliance, cloud readiness, digital transformation, automation, cost.</w:t>
      </w:r>
    </w:p>
    <w:p w14:paraId="19AA7A7D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Include reference to external pressures (e.g., NIST guidance, ISO 27001, zero trust, vendor deprecation timelines).</w:t>
      </w:r>
    </w:p>
    <w:p w14:paraId="3C29CA2D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Scope Definition</w:t>
      </w:r>
    </w:p>
    <w:p w14:paraId="2A3E061A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In-Scope</w:t>
      </w: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use cases, capabilities, platforms, business units.</w:t>
      </w:r>
    </w:p>
    <w:p w14:paraId="287CE08C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Out-of-Scope</w:t>
      </w: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exclusions and constraints (e.g., no OT, no non-managed BYODs).</w:t>
      </w:r>
    </w:p>
    <w:p w14:paraId="59BF312D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Dependencies on other programs.</w:t>
      </w:r>
    </w:p>
    <w:p w14:paraId="16CE6EC8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Current State Assessment</w:t>
      </w:r>
    </w:p>
    <w:p w14:paraId="087CA38F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Describe the existing PKI environment, toolsets, and operational model.</w:t>
      </w:r>
    </w:p>
    <w:p w14:paraId="309B6191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Common pain points: poor visibility, manual renewals, lack of delegation, inconsistent trust chains, etc.</w:t>
      </w:r>
    </w:p>
    <w:p w14:paraId="53FACF7E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Future State Vision</w:t>
      </w:r>
    </w:p>
    <w:p w14:paraId="57F6EA1E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Describe target architecture characteristics (e.g., scalable, automated, standards-aligned).</w:t>
      </w:r>
    </w:p>
    <w:p w14:paraId="36805678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May reference maturity models (e.g., Gartner PKI Maturity Model, SANS lifecycle).</w:t>
      </w:r>
    </w:p>
    <w:p w14:paraId="7481FDB3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Solution Options &amp; Recommendations</w:t>
      </w:r>
    </w:p>
    <w:p w14:paraId="39EEC080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Outline viable paths: e.g., in-house uplift, managed PKI, hybrid.</w:t>
      </w:r>
    </w:p>
    <w:p w14:paraId="175BCDBD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Pros and cons table per option.</w:t>
      </w:r>
    </w:p>
    <w:p w14:paraId="37F079F7" w14:textId="77777777" w:rsidR="00A536E0" w:rsidRPr="009F31B9" w:rsidRDefault="00A536E0" w:rsidP="009F31B9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Preferred option and rationale.</w:t>
      </w:r>
    </w:p>
    <w:p w14:paraId="1F83DC50" w14:textId="77777777" w:rsidR="00A536E0" w:rsidRPr="009F31B9" w:rsidRDefault="00A536E0" w:rsidP="009F31B9">
      <w:pPr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Use Case Scenarios</w:t>
      </w:r>
    </w:p>
    <w:p w14:paraId="20A7ABE7" w14:textId="77777777" w:rsidR="00A536E0" w:rsidRPr="009F31B9" w:rsidRDefault="00A536E0" w:rsidP="009F31B9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Break down key IT certificate use cases: device, user, application, secure email.</w:t>
      </w:r>
    </w:p>
    <w:p w14:paraId="5B7A714B" w14:textId="77777777" w:rsidR="00A536E0" w:rsidRPr="009F31B9" w:rsidRDefault="00A536E0" w:rsidP="009F31B9">
      <w:pPr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Brief summary of value per scenario.</w:t>
      </w:r>
    </w:p>
    <w:p w14:paraId="035922D1" w14:textId="77777777" w:rsidR="00A536E0" w:rsidRPr="009F31B9" w:rsidRDefault="00A536E0" w:rsidP="009F31B9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Benefits &amp; Value Realization</w:t>
      </w:r>
    </w:p>
    <w:p w14:paraId="0D9953DE" w14:textId="77777777" w:rsidR="00A536E0" w:rsidRPr="009F31B9" w:rsidRDefault="00A536E0" w:rsidP="009F31B9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Tangible and intangible benefits: security uplift, operational cost savings, compliance readiness, reduced downtime.</w:t>
      </w:r>
    </w:p>
    <w:p w14:paraId="4E331801" w14:textId="77777777" w:rsidR="00A536E0" w:rsidRPr="009F31B9" w:rsidRDefault="00A536E0" w:rsidP="009F31B9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Tie to corporate objectives or IT strategy pillars.</w:t>
      </w:r>
    </w:p>
    <w:p w14:paraId="192CCC96" w14:textId="77777777" w:rsidR="00A536E0" w:rsidRPr="009F31B9" w:rsidRDefault="00A536E0" w:rsidP="009F31B9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Risk &amp; Threat Landscape</w:t>
      </w:r>
    </w:p>
    <w:p w14:paraId="66B15162" w14:textId="77777777" w:rsidR="00A536E0" w:rsidRPr="009F31B9" w:rsidRDefault="00A536E0" w:rsidP="009F31B9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Risks of not modernizing (e.g., cert expiry outages, phishing, non-compliance).</w:t>
      </w:r>
    </w:p>
    <w:p w14:paraId="3B8C13F7" w14:textId="77777777" w:rsidR="00A536E0" w:rsidRPr="009F31B9" w:rsidRDefault="00A536E0" w:rsidP="009F31B9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Threat vectors addressed by improved PKI.</w:t>
      </w:r>
    </w:p>
    <w:p w14:paraId="07E6ABC6" w14:textId="77777777" w:rsidR="00A536E0" w:rsidRPr="009F31B9" w:rsidRDefault="00A536E0" w:rsidP="009F31B9">
      <w:pPr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High-Level Architecture &amp; Functional Components</w:t>
      </w:r>
    </w:p>
    <w:p w14:paraId="37587185" w14:textId="77777777" w:rsidR="00A536E0" w:rsidRPr="009F31B9" w:rsidRDefault="00A536E0" w:rsidP="009F31B9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Logical architecture diagram of proposed modernized PKI.</w:t>
      </w:r>
    </w:p>
    <w:p w14:paraId="5707C3B2" w14:textId="77777777" w:rsidR="00A536E0" w:rsidRPr="009F31B9" w:rsidRDefault="00A536E0" w:rsidP="009F31B9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Role of CA hierarchy, CMP/SCEP/ACME protocols, vaulting, monitoring.</w:t>
      </w:r>
    </w:p>
    <w:p w14:paraId="5FEB6F56" w14:textId="77777777" w:rsidR="00A536E0" w:rsidRPr="009F31B9" w:rsidRDefault="00A536E0" w:rsidP="009F31B9">
      <w:pPr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Cost Considerations &amp; Estimates (if known)</w:t>
      </w:r>
    </w:p>
    <w:p w14:paraId="661B10C1" w14:textId="77777777" w:rsidR="00A536E0" w:rsidRPr="009F31B9" w:rsidRDefault="00A536E0" w:rsidP="009F31B9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Opex vs Capex profile.</w:t>
      </w:r>
    </w:p>
    <w:p w14:paraId="375EA623" w14:textId="77777777" w:rsidR="00A536E0" w:rsidRPr="009F31B9" w:rsidRDefault="00A536E0" w:rsidP="009F31B9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Licensing, professional services, managed service uplift.</w:t>
      </w:r>
    </w:p>
    <w:p w14:paraId="45186761" w14:textId="77777777" w:rsidR="00A536E0" w:rsidRPr="009F31B9" w:rsidRDefault="00A536E0" w:rsidP="009F31B9">
      <w:pPr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Next Steps &amp; Recommendations</w:t>
      </w:r>
    </w:p>
    <w:p w14:paraId="5442C5D6" w14:textId="77777777" w:rsidR="00A536E0" w:rsidRPr="009F31B9" w:rsidRDefault="00A536E0" w:rsidP="009F31B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lastRenderedPageBreak/>
        <w:t>Proposed path to detailed design, PoC, or funding submission.</w:t>
      </w:r>
    </w:p>
    <w:p w14:paraId="20AC752A" w14:textId="77777777" w:rsidR="00A536E0" w:rsidRPr="009F31B9" w:rsidRDefault="00A536E0" w:rsidP="009F31B9">
      <w:pPr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Outline dependencies or prerequisites.</w:t>
      </w:r>
    </w:p>
    <w:p w14:paraId="13179E9B" w14:textId="77777777" w:rsidR="00A536E0" w:rsidRPr="009F31B9" w:rsidRDefault="00A536E0" w:rsidP="009F31B9">
      <w:pPr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Appendices</w:t>
      </w:r>
    </w:p>
    <w:p w14:paraId="0C2C6BB1" w14:textId="77777777" w:rsidR="00A536E0" w:rsidRPr="009F31B9" w:rsidRDefault="00A536E0" w:rsidP="009F31B9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Glossary of terms, references (e.g., NIST SP 800-57, RFC 5280).</w:t>
      </w:r>
    </w:p>
    <w:p w14:paraId="1F2C0E70" w14:textId="77777777" w:rsidR="00A536E0" w:rsidRPr="009F31B9" w:rsidRDefault="00A536E0" w:rsidP="009F31B9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9F31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Standards mapping, persona flows, CA policy examples.</w:t>
      </w:r>
    </w:p>
    <w:p w14:paraId="53492C06" w14:textId="77777777" w:rsidR="00152FE9" w:rsidRDefault="00152FE9" w:rsidP="009F31B9">
      <w:pPr>
        <w:spacing w:after="0"/>
        <w:rPr>
          <w:sz w:val="20"/>
          <w:szCs w:val="20"/>
        </w:rPr>
      </w:pPr>
    </w:p>
    <w:p w14:paraId="0D70DFB3" w14:textId="4633FBA1" w:rsidR="00A536E0" w:rsidRPr="009F31B9" w:rsidRDefault="000734A7" w:rsidP="009F31B9">
      <w:pPr>
        <w:spacing w:after="0"/>
        <w:rPr>
          <w:sz w:val="20"/>
          <w:szCs w:val="20"/>
        </w:rPr>
      </w:pPr>
      <w:r w:rsidRPr="009F31B9">
        <w:rPr>
          <w:sz w:val="20"/>
          <w:szCs w:val="20"/>
        </w:rPr>
        <w:t>Reference</w:t>
      </w:r>
      <w:r w:rsidR="00A70ADF" w:rsidRPr="009F31B9">
        <w:rPr>
          <w:sz w:val="20"/>
          <w:szCs w:val="20"/>
        </w:rPr>
        <w:t>:</w:t>
      </w:r>
    </w:p>
    <w:p w14:paraId="3B7145FB" w14:textId="77A15057" w:rsidR="00A70ADF" w:rsidRPr="009F0806" w:rsidRDefault="00A70ADF" w:rsidP="009F0806">
      <w:pPr>
        <w:pStyle w:val="ListParagraph"/>
        <w:numPr>
          <w:ilvl w:val="0"/>
          <w:numId w:val="25"/>
        </w:numPr>
        <w:spacing w:after="0"/>
        <w:rPr>
          <w:sz w:val="20"/>
          <w:szCs w:val="20"/>
        </w:rPr>
      </w:pPr>
      <w:r w:rsidRPr="009F0806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Drawing from industry best practices (e.g., The Open Group Architecture Framework (TOGAF), SANS Institute, Gartner, and mature enterprise architecture offices), the structure </w:t>
      </w:r>
      <w:r w:rsidR="00F62D03" w:rsidRPr="009F0806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is suitable for a </w:t>
      </w:r>
      <w:r w:rsidRPr="009F0806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pre-funding IT whitepaper</w:t>
      </w:r>
      <w:r w:rsidR="00F62D03" w:rsidRPr="009F0806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, customise </w:t>
      </w:r>
      <w:r w:rsidR="00CA3DB2" w:rsidRPr="009F0806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as per customer requirements.</w:t>
      </w:r>
    </w:p>
    <w:p w14:paraId="0915E350" w14:textId="77777777" w:rsidR="0091790C" w:rsidRDefault="0091790C" w:rsidP="0091790C">
      <w:pPr>
        <w:spacing w:after="0"/>
        <w:contextualSpacing/>
        <w:rPr>
          <w:b/>
          <w:bCs/>
        </w:rPr>
      </w:pPr>
    </w:p>
    <w:p w14:paraId="0679400F" w14:textId="77777777" w:rsidR="009F0806" w:rsidRDefault="009F0806">
      <w:pP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br w:type="page"/>
      </w:r>
    </w:p>
    <w:p w14:paraId="2D1E53A3" w14:textId="690E480A" w:rsidR="006F078A" w:rsidRPr="00644E76" w:rsidRDefault="006F078A" w:rsidP="006F078A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lastRenderedPageBreak/>
        <w:t xml:space="preserve">Whitepaper: </w:t>
      </w:r>
      <w:r w:rsidR="009F0806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Modernising </w:t>
      </w: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PKI/Certificate</w:t>
      </w:r>
      <w:r w:rsidR="00F82AAD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for Corporate IT</w:t>
      </w:r>
    </w:p>
    <w:p w14:paraId="7F7B65A9" w14:textId="77777777" w:rsidR="006F078A" w:rsidRDefault="006F078A" w:rsidP="006F078A">
      <w:pPr>
        <w:keepNext/>
        <w:keepLines/>
        <w:spacing w:after="0" w:line="240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</w:p>
    <w:p w14:paraId="3BF7EF3E" w14:textId="2F5C83F1" w:rsidR="006F078A" w:rsidRDefault="006F078A" w:rsidP="006F078A">
      <w:pPr>
        <w:keepNext/>
        <w:keepLines/>
        <w:spacing w:after="0" w:line="240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Status: Draft</w:t>
      </w:r>
      <w:r w:rsidR="00F82AAD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r w:rsidR="00F82AAD" w:rsidRPr="004A184B">
        <w:t>| [</w:t>
      </w:r>
      <w:r w:rsidR="00C77DA8" w:rsidRPr="004A184B">
        <w:t xml:space="preserve"> </w:t>
      </w:r>
      <w:r w:rsidR="00C77DA8" w:rsidRPr="004A184B">
        <w:rPr>
          <w:i/>
          <w:iCs/>
        </w:rPr>
        <w:t xml:space="preserve">sample </w:t>
      </w:r>
      <w:r w:rsidR="00FD7DC1" w:rsidRPr="004A184B">
        <w:rPr>
          <w:i/>
          <w:iCs/>
        </w:rPr>
        <w:t>whitepaper for expedited use</w:t>
      </w:r>
      <w:r w:rsidR="00280705" w:rsidRPr="004A184B">
        <w:rPr>
          <w:i/>
          <w:iCs/>
        </w:rPr>
        <w:t xml:space="preserve"> only</w:t>
      </w:r>
      <w:r w:rsidR="00562092" w:rsidRPr="004A184B">
        <w:t xml:space="preserve"> </w:t>
      </w:r>
      <w:r w:rsidR="00F82AAD" w:rsidRPr="004A184B">
        <w:t>]</w:t>
      </w:r>
    </w:p>
    <w:p w14:paraId="126CA4B4" w14:textId="77777777" w:rsidR="00562092" w:rsidRDefault="00562092" w:rsidP="00562092">
      <w:pPr>
        <w:spacing w:after="0" w:line="240" w:lineRule="auto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p w14:paraId="4042E1C9" w14:textId="733168F8" w:rsidR="009F0806" w:rsidRPr="00562092" w:rsidRDefault="009F0806" w:rsidP="00562092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Purpose: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Educate stakeholders on the business problem, lifecycle opportunities, benefits, threats, </w:t>
      </w:r>
      <w:r w:rsidR="006637B9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potential 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scope, current challenges, and potential savings associated with PKI modernization.</w:t>
      </w:r>
    </w:p>
    <w:p w14:paraId="6316269D" w14:textId="77777777" w:rsidR="00562092" w:rsidRDefault="00562092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</w:p>
    <w:p w14:paraId="60DCAAFE" w14:textId="6CF7376C" w:rsidR="009F0806" w:rsidRPr="00562092" w:rsidRDefault="009F0806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1. Business Problem &amp; Current Challenges</w:t>
      </w:r>
    </w:p>
    <w:p w14:paraId="0C98BD59" w14:textId="77777777" w:rsidR="009F0806" w:rsidRPr="00562092" w:rsidRDefault="009F0806" w:rsidP="00562092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Complexity of PKI Management: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Traditional on-premises PKI systems are complex to deploy and maintain. They require significant expertise and resources, and a single misconfiguration can lead to security breaches. </w:t>
      </w:r>
    </w:p>
    <w:p w14:paraId="5AA4C876" w14:textId="77777777" w:rsidR="009F0806" w:rsidRPr="00562092" w:rsidRDefault="009F0806" w:rsidP="00562092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Scalability Issues: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As organizations grow, scaling PKI infrastructure becomes challenging, especially when issuing and managing certificates across diverse systems and devices.</w:t>
      </w:r>
    </w:p>
    <w:p w14:paraId="7EAB3B7E" w14:textId="77777777" w:rsidR="009F0806" w:rsidRPr="00562092" w:rsidRDefault="009F0806" w:rsidP="00562092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Security Risks: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Managing root Certificate Authorities (CAs) and ensuring their security is critical. Any compromise can jeopardize the entire PKI hierarchy. </w:t>
      </w:r>
    </w:p>
    <w:p w14:paraId="0A164ECE" w14:textId="77777777" w:rsidR="009F0806" w:rsidRPr="00562092" w:rsidRDefault="009F0806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2. Lifecycle Opportunities &amp; Benefits</w:t>
      </w:r>
    </w:p>
    <w:p w14:paraId="14D9FC65" w14:textId="77777777" w:rsidR="009F0806" w:rsidRPr="00562092" w:rsidRDefault="009F0806" w:rsidP="00562092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Enhanced Security for Remote Access: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Implementing PKI strengthens remote network access by replacing vulnerable password-based systems with certificate-based authentication, which is more secure and less prone to phishing attacks. </w:t>
      </w:r>
    </w:p>
    <w:p w14:paraId="09B47414" w14:textId="77777777" w:rsidR="009F0806" w:rsidRPr="00562092" w:rsidRDefault="009F0806" w:rsidP="00562092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Automation &amp; Efficiency: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Modern PKI solutions offer automation in certificate issuance, renewal, and revocation, reducing administrative overhead and minimizing human errors.</w:t>
      </w:r>
    </w:p>
    <w:p w14:paraId="6AD5DE62" w14:textId="77777777" w:rsidR="009F0806" w:rsidRPr="00562092" w:rsidRDefault="009F0806" w:rsidP="00562092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Cost Savings: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By adopting managed PKI services (PKIaaS), organizations can reduce capital expenditures on hardware and infrastructure, leading to potential operational cost savings. </w:t>
      </w:r>
    </w:p>
    <w:p w14:paraId="29C13B81" w14:textId="77777777" w:rsidR="009F0806" w:rsidRPr="00562092" w:rsidRDefault="009F0806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3. Scope: Use-Cases &amp; Out-of-Scope</w:t>
      </w:r>
    </w:p>
    <w:p w14:paraId="75149EE6" w14:textId="77777777" w:rsidR="009F0806" w:rsidRPr="00562092" w:rsidRDefault="009F0806" w:rsidP="00562092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In-Scope Use-Cases:</w:t>
      </w:r>
    </w:p>
    <w:p w14:paraId="3320D1FF" w14:textId="77777777" w:rsidR="009F0806" w:rsidRPr="00562092" w:rsidRDefault="009F0806" w:rsidP="00562092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Securing remote network access for employees.</w:t>
      </w:r>
    </w:p>
    <w:p w14:paraId="0D24E19B" w14:textId="77777777" w:rsidR="009F0806" w:rsidRPr="00562092" w:rsidRDefault="009F0806" w:rsidP="00562092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Authenticating devices and users within the corporate network.</w:t>
      </w:r>
    </w:p>
    <w:p w14:paraId="5AEFB31A" w14:textId="77777777" w:rsidR="009F0806" w:rsidRPr="00562092" w:rsidRDefault="009F0806" w:rsidP="00562092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Encrypting sensitive communications and data. </w:t>
      </w:r>
    </w:p>
    <w:p w14:paraId="38B6C456" w14:textId="77777777" w:rsidR="009F0806" w:rsidRPr="00562092" w:rsidRDefault="009F0806" w:rsidP="00562092">
      <w:p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Out-of-Scope Use-Cases:</w:t>
      </w:r>
    </w:p>
    <w:p w14:paraId="5696F38E" w14:textId="77777777" w:rsidR="009F0806" w:rsidRPr="00562092" w:rsidRDefault="009F0806" w:rsidP="00562092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PKI applications in Operational Technology (OT) environments. </w:t>
      </w:r>
    </w:p>
    <w:p w14:paraId="780A6008" w14:textId="77777777" w:rsidR="009F0806" w:rsidRPr="00562092" w:rsidRDefault="009F0806" w:rsidP="00562092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>IoT device certificate management.</w:t>
      </w:r>
    </w:p>
    <w:p w14:paraId="4112FDC1" w14:textId="77777777" w:rsidR="009F0806" w:rsidRPr="00562092" w:rsidRDefault="009F0806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4. Current PKI Platform &amp; Associated Challenges</w:t>
      </w:r>
    </w:p>
    <w:p w14:paraId="109DAFDB" w14:textId="77777777" w:rsidR="009F0806" w:rsidRPr="00562092" w:rsidRDefault="009F0806" w:rsidP="00562092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Manual Processes: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Current systems may rely heavily on manual certificate management, leading to inefficiencies and increased risk of errors.</w:t>
      </w:r>
    </w:p>
    <w:p w14:paraId="0C7016C4" w14:textId="77777777" w:rsidR="009F0806" w:rsidRPr="00562092" w:rsidRDefault="009F0806" w:rsidP="00562092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Limited Integration: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Existing PKI solutions might lack seamless integration with modern applications and cloud services.</w:t>
      </w:r>
    </w:p>
    <w:p w14:paraId="43260524" w14:textId="77777777" w:rsidR="009F0806" w:rsidRPr="00562092" w:rsidRDefault="009F0806" w:rsidP="00562092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Resource Intensive: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Maintaining on-premises PKI infrastructure demands significant IT resources and specialized knowledge.</w:t>
      </w:r>
    </w:p>
    <w:p w14:paraId="24A008CD" w14:textId="77777777" w:rsidR="009F0806" w:rsidRPr="00562092" w:rsidRDefault="009F0806" w:rsidP="00562092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5. Potential Savings from Modernization</w:t>
      </w:r>
    </w:p>
    <w:p w14:paraId="2A7E6855" w14:textId="77777777" w:rsidR="009F0806" w:rsidRPr="00562092" w:rsidRDefault="009F0806" w:rsidP="00562092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Operational Efficiency: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Automation reduces the need for manual intervention, freeing up IT resources for other strategic initiatives.</w:t>
      </w:r>
    </w:p>
    <w:p w14:paraId="4E753FC6" w14:textId="77777777" w:rsidR="009F0806" w:rsidRPr="00562092" w:rsidRDefault="009F0806" w:rsidP="00562092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Reduced Downtime: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Automated certificate renewal prevents service disruptions caused by expired certificates.</w:t>
      </w:r>
    </w:p>
    <w:p w14:paraId="031C5FEE" w14:textId="77777777" w:rsidR="009F0806" w:rsidRPr="00562092" w:rsidRDefault="009F0806" w:rsidP="00562092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</w:pPr>
      <w:r w:rsidRPr="00562092">
        <w:rPr>
          <w:rFonts w:eastAsia="Times New Roman" w:cs="Times New Roman"/>
          <w:b/>
          <w:bCs/>
          <w:kern w:val="0"/>
          <w:sz w:val="20"/>
          <w:szCs w:val="20"/>
          <w:lang w:eastAsia="en-AU"/>
          <w14:ligatures w14:val="none"/>
        </w:rPr>
        <w:t>Scalability:</w:t>
      </w:r>
      <w:r w:rsidRPr="00562092">
        <w:rPr>
          <w:rFonts w:eastAsia="Times New Roman" w:cs="Times New Roman"/>
          <w:kern w:val="0"/>
          <w:sz w:val="20"/>
          <w:szCs w:val="20"/>
          <w:lang w:eastAsia="en-AU"/>
          <w14:ligatures w14:val="none"/>
        </w:rPr>
        <w:t xml:space="preserve"> Managed PKI services allow for rapid scaling without the need for additional infrastructure investment. </w:t>
      </w:r>
    </w:p>
    <w:p w14:paraId="5B628FCB" w14:textId="77777777" w:rsidR="009F0806" w:rsidRPr="00562092" w:rsidRDefault="009F0806" w:rsidP="00562092">
      <w:pPr>
        <w:spacing w:after="0" w:line="240" w:lineRule="auto"/>
        <w:rPr>
          <w:sz w:val="20"/>
          <w:szCs w:val="20"/>
        </w:rPr>
      </w:pPr>
    </w:p>
    <w:p w14:paraId="30283BCB" w14:textId="1ECEE033" w:rsidR="00920E29" w:rsidRPr="009F0806" w:rsidRDefault="00920E29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</w:pPr>
    </w:p>
    <w:sectPr w:rsidR="00920E29" w:rsidRPr="009F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5460"/>
    <w:multiLevelType w:val="multilevel"/>
    <w:tmpl w:val="52EA56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55B1F"/>
    <w:multiLevelType w:val="multilevel"/>
    <w:tmpl w:val="E75E83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00EC"/>
    <w:multiLevelType w:val="multilevel"/>
    <w:tmpl w:val="1C264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27A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26C6"/>
    <w:multiLevelType w:val="multilevel"/>
    <w:tmpl w:val="63AA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C6547"/>
    <w:multiLevelType w:val="multilevel"/>
    <w:tmpl w:val="667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77BB2"/>
    <w:multiLevelType w:val="multilevel"/>
    <w:tmpl w:val="6CE89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5295"/>
    <w:multiLevelType w:val="multilevel"/>
    <w:tmpl w:val="EA5C87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4584A"/>
    <w:multiLevelType w:val="multilevel"/>
    <w:tmpl w:val="428E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317DF"/>
    <w:multiLevelType w:val="multilevel"/>
    <w:tmpl w:val="D55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A3C79"/>
    <w:multiLevelType w:val="multilevel"/>
    <w:tmpl w:val="5EE4D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62089"/>
    <w:multiLevelType w:val="multilevel"/>
    <w:tmpl w:val="CC2C71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95E77"/>
    <w:multiLevelType w:val="multilevel"/>
    <w:tmpl w:val="A8F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95FF4"/>
    <w:multiLevelType w:val="multilevel"/>
    <w:tmpl w:val="9F7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16D5C"/>
    <w:multiLevelType w:val="multilevel"/>
    <w:tmpl w:val="7A5221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7AA5"/>
    <w:multiLevelType w:val="multilevel"/>
    <w:tmpl w:val="C568D0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52AD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A3862"/>
    <w:multiLevelType w:val="multilevel"/>
    <w:tmpl w:val="A31AC3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848B8"/>
    <w:multiLevelType w:val="hybridMultilevel"/>
    <w:tmpl w:val="0B066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0674E"/>
    <w:multiLevelType w:val="multilevel"/>
    <w:tmpl w:val="D66465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A0B4F"/>
    <w:multiLevelType w:val="multilevel"/>
    <w:tmpl w:val="09520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01842"/>
    <w:multiLevelType w:val="hybridMultilevel"/>
    <w:tmpl w:val="929C01FA"/>
    <w:lvl w:ilvl="0" w:tplc="8D8241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C4732"/>
    <w:multiLevelType w:val="multilevel"/>
    <w:tmpl w:val="23D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0029A"/>
    <w:multiLevelType w:val="multilevel"/>
    <w:tmpl w:val="16C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A68C1"/>
    <w:multiLevelType w:val="multilevel"/>
    <w:tmpl w:val="1E702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12734740">
    <w:abstractNumId w:val="23"/>
  </w:num>
  <w:num w:numId="2" w16cid:durableId="1940915328">
    <w:abstractNumId w:val="13"/>
  </w:num>
  <w:num w:numId="3" w16cid:durableId="184877572">
    <w:abstractNumId w:val="12"/>
  </w:num>
  <w:num w:numId="4" w16cid:durableId="1124809984">
    <w:abstractNumId w:val="5"/>
  </w:num>
  <w:num w:numId="5" w16cid:durableId="172230397">
    <w:abstractNumId w:val="22"/>
  </w:num>
  <w:num w:numId="6" w16cid:durableId="569848886">
    <w:abstractNumId w:val="9"/>
  </w:num>
  <w:num w:numId="7" w16cid:durableId="707414226">
    <w:abstractNumId w:val="8"/>
  </w:num>
  <w:num w:numId="8" w16cid:durableId="79453898">
    <w:abstractNumId w:val="21"/>
  </w:num>
  <w:num w:numId="9" w16cid:durableId="847913160">
    <w:abstractNumId w:val="4"/>
  </w:num>
  <w:num w:numId="10" w16cid:durableId="734356637">
    <w:abstractNumId w:val="14"/>
  </w:num>
  <w:num w:numId="11" w16cid:durableId="873076238">
    <w:abstractNumId w:val="7"/>
  </w:num>
  <w:num w:numId="12" w16cid:durableId="1294677344">
    <w:abstractNumId w:val="10"/>
  </w:num>
  <w:num w:numId="13" w16cid:durableId="2122911607">
    <w:abstractNumId w:val="19"/>
  </w:num>
  <w:num w:numId="14" w16cid:durableId="1943026955">
    <w:abstractNumId w:val="24"/>
  </w:num>
  <w:num w:numId="15" w16cid:durableId="1113094092">
    <w:abstractNumId w:val="1"/>
  </w:num>
  <w:num w:numId="16" w16cid:durableId="1261450048">
    <w:abstractNumId w:val="6"/>
  </w:num>
  <w:num w:numId="17" w16cid:durableId="1713529755">
    <w:abstractNumId w:val="17"/>
  </w:num>
  <w:num w:numId="18" w16cid:durableId="840388509">
    <w:abstractNumId w:val="2"/>
  </w:num>
  <w:num w:numId="19" w16cid:durableId="426539421">
    <w:abstractNumId w:val="0"/>
  </w:num>
  <w:num w:numId="20" w16cid:durableId="1065572496">
    <w:abstractNumId w:val="11"/>
  </w:num>
  <w:num w:numId="21" w16cid:durableId="726270651">
    <w:abstractNumId w:val="15"/>
  </w:num>
  <w:num w:numId="22" w16cid:durableId="643772726">
    <w:abstractNumId w:val="20"/>
  </w:num>
  <w:num w:numId="23" w16cid:durableId="229966849">
    <w:abstractNumId w:val="3"/>
  </w:num>
  <w:num w:numId="24" w16cid:durableId="61678783">
    <w:abstractNumId w:val="16"/>
  </w:num>
  <w:num w:numId="25" w16cid:durableId="4815029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29"/>
    <w:rsid w:val="00034212"/>
    <w:rsid w:val="00073481"/>
    <w:rsid w:val="000734A7"/>
    <w:rsid w:val="00093807"/>
    <w:rsid w:val="000D2586"/>
    <w:rsid w:val="000E0537"/>
    <w:rsid w:val="00152FE9"/>
    <w:rsid w:val="001531B3"/>
    <w:rsid w:val="0017698C"/>
    <w:rsid w:val="001977CE"/>
    <w:rsid w:val="001D38D7"/>
    <w:rsid w:val="00247D78"/>
    <w:rsid w:val="00280705"/>
    <w:rsid w:val="002D4B30"/>
    <w:rsid w:val="002E3259"/>
    <w:rsid w:val="0038044D"/>
    <w:rsid w:val="003F2AA7"/>
    <w:rsid w:val="004865F4"/>
    <w:rsid w:val="004A184B"/>
    <w:rsid w:val="004F4F57"/>
    <w:rsid w:val="00562092"/>
    <w:rsid w:val="00597725"/>
    <w:rsid w:val="005D56BD"/>
    <w:rsid w:val="005E3ABF"/>
    <w:rsid w:val="00626305"/>
    <w:rsid w:val="00636590"/>
    <w:rsid w:val="006637B9"/>
    <w:rsid w:val="00676674"/>
    <w:rsid w:val="006F078A"/>
    <w:rsid w:val="007E3CD6"/>
    <w:rsid w:val="00823027"/>
    <w:rsid w:val="008B1629"/>
    <w:rsid w:val="008D34AD"/>
    <w:rsid w:val="008F58CC"/>
    <w:rsid w:val="0091790C"/>
    <w:rsid w:val="00920E29"/>
    <w:rsid w:val="00927938"/>
    <w:rsid w:val="009954A0"/>
    <w:rsid w:val="009A2CC8"/>
    <w:rsid w:val="009C190B"/>
    <w:rsid w:val="009D0CC1"/>
    <w:rsid w:val="009F0806"/>
    <w:rsid w:val="009F31B9"/>
    <w:rsid w:val="00A536E0"/>
    <w:rsid w:val="00A70ADF"/>
    <w:rsid w:val="00A74745"/>
    <w:rsid w:val="00AC079B"/>
    <w:rsid w:val="00B100F1"/>
    <w:rsid w:val="00B75D0A"/>
    <w:rsid w:val="00BA2A7D"/>
    <w:rsid w:val="00BD565F"/>
    <w:rsid w:val="00BF0A34"/>
    <w:rsid w:val="00C77DA8"/>
    <w:rsid w:val="00CA3DB2"/>
    <w:rsid w:val="00CF2ED3"/>
    <w:rsid w:val="00CF34B8"/>
    <w:rsid w:val="00D30BFB"/>
    <w:rsid w:val="00D52E52"/>
    <w:rsid w:val="00D80EA9"/>
    <w:rsid w:val="00DA6E2A"/>
    <w:rsid w:val="00DB5100"/>
    <w:rsid w:val="00DF41DA"/>
    <w:rsid w:val="00E3551B"/>
    <w:rsid w:val="00F223DD"/>
    <w:rsid w:val="00F62D03"/>
    <w:rsid w:val="00F82AAD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E5B8D6"/>
  <w15:chartTrackingRefBased/>
  <w15:docId w15:val="{0A23A5B5-49DB-4A14-A3FA-B88968CA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Links>
    <vt:vector size="12" baseType="variant">
      <vt:variant>
        <vt:i4>3670043</vt:i4>
      </vt:variant>
      <vt:variant>
        <vt:i4>3</vt:i4>
      </vt:variant>
      <vt:variant>
        <vt:i4>0</vt:i4>
      </vt:variant>
      <vt:variant>
        <vt:i4>5</vt:i4>
      </vt:variant>
      <vt:variant>
        <vt:lpwstr>https://cybercompare.com/public-key-infrastructure-pki-for-iot-and-iiot-device-manufacturers/?utm_source=chatgpt.com</vt:lpwstr>
      </vt:variant>
      <vt:variant>
        <vt:lpwstr/>
      </vt:variant>
      <vt:variant>
        <vt:i4>7733321</vt:i4>
      </vt:variant>
      <vt:variant>
        <vt:i4>0</vt:i4>
      </vt:variant>
      <vt:variant>
        <vt:i4>0</vt:i4>
      </vt:variant>
      <vt:variant>
        <vt:i4>5</vt:i4>
      </vt:variant>
      <vt:variant>
        <vt:lpwstr>https://www.techtarget.com/searchsecurity/tutorials/PKI-and-Digital-Certificates?utm_source=chatgpt.com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67</cp:revision>
  <dcterms:created xsi:type="dcterms:W3CDTF">2025-06-09T03:49:00Z</dcterms:created>
  <dcterms:modified xsi:type="dcterms:W3CDTF">2025-06-09T11:57:00Z</dcterms:modified>
</cp:coreProperties>
</file>