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FleetOps User Guide</w:t>
      </w:r>
    </w:p>
    <w:p>
      <w:r>
        <w:t>Version: 2.0. FICTIONAL DEMONSTRATION MATERIAL.</w:t>
      </w:r>
    </w:p>
    <w:p>
      <w:pPr>
        <w:pStyle w:val="Heading1"/>
      </w:pPr>
      <w:r>
        <w:t>Create a vehicle</w:t>
      </w:r>
    </w:p>
    <w:p>
      <w:r>
        <w:t>Open Vehicles and select Add vehicle. Enter a display name and an equipment identifier, then save. Adding a vehicle does not create a maintenance report.</w:t>
      </w:r>
    </w:p>
    <w:p>
      <w:pPr>
        <w:pStyle w:val="Heading1"/>
      </w:pPr>
      <w:r>
        <w:t>Report workflow</w:t>
      </w:r>
    </w:p>
    <w:p>
      <w:r>
        <w:t>Open a vehicle, select New report, and save a draft. Submit report sends the current draft for supervisor review. The action does not publish or delete the report.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Documented behavior</w:t>
            </w:r>
          </w:p>
        </w:tc>
      </w:tr>
      <w:tr>
        <w:tc>
          <w:tcPr>
            <w:tcW w:type="dxa" w:w="4320"/>
          </w:tcPr>
          <w:p>
            <w:r>
              <w:t>Save draft</w:t>
            </w:r>
          </w:p>
        </w:tc>
        <w:tc>
          <w:tcPr>
            <w:tcW w:type="dxa" w:w="4320"/>
          </w:tcPr>
          <w:p>
            <w:r>
              <w:t>Stores the report without submission</w:t>
            </w:r>
          </w:p>
        </w:tc>
      </w:tr>
      <w:tr>
        <w:tc>
          <w:tcPr>
            <w:tcW w:type="dxa" w:w="4320"/>
          </w:tcPr>
          <w:p>
            <w:r>
              <w:t>Submit report</w:t>
            </w:r>
          </w:p>
        </w:tc>
        <w:tc>
          <w:tcPr>
            <w:tcW w:type="dxa" w:w="4320"/>
          </w:tcPr>
          <w:p>
            <w:r>
              <w:t>Sends the draft for supervisor review</w:t>
            </w:r>
          </w:p>
        </w:tc>
      </w:tr>
      <w:tr>
        <w:tc>
          <w:tcPr>
            <w:tcW w:type="dxa" w:w="4320"/>
          </w:tcPr>
          <w:p>
            <w:r>
              <w:t>Cancel</w:t>
            </w:r>
          </w:p>
        </w:tc>
        <w:tc>
          <w:tcPr>
            <w:tcW w:type="dxa" w:w="4320"/>
          </w:tcPr>
          <w:p>
            <w:r>
              <w:t>Returns to the draft without submitting</w:t>
            </w:r>
          </w:p>
        </w:tc>
      </w:tr>
    </w:tbl>
    <w:p>
      <w:pPr>
        <w:pStyle w:val="Heading1"/>
      </w:pPr>
      <w:r>
        <w:t>Edit a vehicle name</w:t>
      </w:r>
    </w:p>
    <w:p>
      <w:r>
        <w:t>Select Edit vehicle and update the display name. This guide does not establish whether equipment identifiers can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FleetOps User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