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62513" cy="28910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289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above visualization shows the 7day rolling average COVID case counts for Jefferson County, Kentucky  from Feb 2020 - Oct 2021. The case counts are color coded by whether or not, on that day a mask mandate was in place.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What’s really interesting is that around 15 days after the mask mandate was removed, there was a huge spike in cases. This 15 day lag can be attributed to both - the fact that it takes a few days for a case to be documented after exposure as well as the way we are calculating the 7d moving average.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can further be seen if we look at the increase in cases (7d average) from the previous day- you notice that when the “no mask mandate” was passed, the mean increases significantly above the zero line.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310063" cy="271451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2714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Issues/Next Steps: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While, I did smooth the counts by taking 7 day averages, there are still a few days where there are sudden increases followed by sudden decreases - this could be due to public holidays when cases weren’t logged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mask data till August, in September, the rate of increase in cases does show a decreasing trend. It would be interesting to see if this is due to a new updated mask mandate/ something else.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  <w:t xml:space="preserve">A4 Visualization Explanation</w:t>
    </w:r>
  </w:p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  <w:t xml:space="preserve">Marc Mascarenhas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