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Línea base funcional y arquitectura conceptual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ALZ-MIN-006   ·   SEMANA 3   ·   SESIÓN B  ·  S1  ·  v1.2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ALZ-MIN-006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3 · Sesión B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27 de agosto de 2026 · 18:30 a 19:20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Revisión técnica y aprobación de definición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142B45"/>
                <w:sz w:val="18"/>
              </w:rPr>
              <w:t>Sprint / iteración</w:t>
            </w:r>
            <w:r>
              <w:rPr>
                <w:rFonts w:ascii="Arial" w:hAnsi="Arial" w:eastAsia="Calibri"/>
                <w:b/>
                <w:i w:val="0"/>
                <w:color w:val="142B45"/>
                <w:sz w:val="18"/>
                <w:lang w:val="es-CL"/>
              </w:rPr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color w:val="212529"/>
                <w:sz w:val="18"/>
              </w:rPr>
              <w:t>S1 - Definición y diseño inicial (semanas 3-4)</w:t>
            </w:r>
            <w:r>
              <w:rPr>
                <w:rFonts w:ascii="Arial" w:hAnsi="Arial" w:eastAsia="Calibri"/>
                <w:b w:val="0"/>
                <w:i w:val="0"/>
                <w:color w:val="212529"/>
                <w:sz w:val="18"/>
                <w:lang w:val="es-CL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142B45"/>
                <w:sz w:val="18"/>
              </w:rPr>
              <w:t>Versión</w:t>
            </w:r>
            <w:r>
              <w:rPr>
                <w:rFonts w:ascii="Arial" w:hAnsi="Arial" w:eastAsia="Calibri"/>
                <w:b/>
                <w:i w:val="0"/>
                <w:color w:val="142B45"/>
                <w:sz w:val="18"/>
                <w:lang w:val="es-CL"/>
              </w:rPr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color w:val="212529"/>
                <w:sz w:val="18"/>
              </w:rPr>
              <w:t>1.2</w:t>
            </w:r>
            <w:r>
              <w:rPr>
                <w:rFonts w:ascii="Arial" w:hAnsi="Arial" w:eastAsia="Calibri"/>
                <w:b w:val="0"/>
                <w:i w:val="0"/>
                <w:color w:val="212529"/>
                <w:sz w:val="18"/>
                <w:lang w:val="es-CL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142B45"/>
                <w:sz w:val="18"/>
              </w:rPr>
              <w:t>Seguimiento</w:t>
            </w:r>
            <w:r>
              <w:rPr>
                <w:rFonts w:ascii="Arial" w:hAnsi="Arial" w:eastAsia="Calibri"/>
                <w:b/>
                <w:i w:val="0"/>
                <w:color w:val="142B45"/>
                <w:sz w:val="18"/>
                <w:lang w:val="es-CL"/>
              </w:rPr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color w:val="212529"/>
                <w:sz w:val="18"/>
              </w:rPr>
              <w:t>C-013 a C-015: cerrados en versión de revisión; mockups, línea base, eventos y señales consolidados. Revisión técnica 04/09/2026: AD-ARQ-001 incorporada sin alterar la fecha de reunión.</w:t>
            </w:r>
            <w:r>
              <w:rPr>
                <w:rFonts w:ascii="Arial" w:hAnsi="Arial" w:eastAsia="Calibri"/>
                <w:b w:val="0"/>
                <w:i w:val="0"/>
                <w:color w:val="212529"/>
                <w:sz w:val="18"/>
                <w:lang w:val="es-CL"/>
              </w:rPr>
            </w:r>
          </w:p>
        </w:tc>
      </w:tr>
    </w:tbl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Aprobar Informe_ERS_Alunza.docx como línea base funcional y acordar una arquitectura conceptual suficiente para estimar riesgos, responsabilidades y evidencias técnicas.</w:t>
      </w:r>
    </w:p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 xml:space="preserve">•  </w:t>
      </w:r>
      <w:r>
        <w:rPr>
          <w:rFonts w:ascii="Arial" w:hAnsi="Arial"/>
          <w:b w:val="0"/>
          <w:color w:val="212529"/>
        </w:rPr>
        <w:t>Aplicación web, API, base de datos, ejecutor controlado, módulo IA, RAG y observabilidad.</w:t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 xml:space="preserve">•  </w:t>
      </w:r>
      <w:r>
        <w:rPr>
          <w:rFonts w:ascii="Arial" w:hAnsi="Arial"/>
          <w:b w:val="0"/>
          <w:color w:val="212529"/>
        </w:rPr>
        <w:t>Modelo de datos para organizaciones, cuentas, roles, clases, actividades, ejercicios, intentos, eventos, documentos y señales.</w:t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 xml:space="preserve">•  </w:t>
      </w:r>
      <w:r>
        <w:rPr>
          <w:rFonts w:ascii="Arial" w:hAnsi="Arial"/>
          <w:b w:val="0"/>
          <w:color w:val="212529"/>
        </w:rPr>
        <w:t>Requisitos no funcionales de seguridad, rendimiento, confiabilidad y portabilidad.</w:t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 xml:space="preserve">•  </w:t>
      </w:r>
      <w:r>
        <w:rPr>
          <w:rFonts w:ascii="Arial" w:hAnsi="Arial"/>
          <w:b w:val="0"/>
          <w:color w:val="212529"/>
        </w:rPr>
        <w:t>Docker, manejo de fallas y estrategia de pruebas de la ruta crítica.</w:t>
      </w:r>
    </w:p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Informe_ERS_Alunza.docx fue aceptado como referencia funcional viva del proyecto. La revisión técnica del 04/09/2026 formalizó AD-ARQ-001: Next.js en Vercel; NestJS en Azure Container Apps; Supabase para Auth, PostgreSQL, Storage, RLS y pgvector; y Vercel Sandbox para código no confiable. NestJS conserva dominio, autorización, auditoría y orquestación, mientras Next.js no duplica la API. Azure OpenAI se mantiene como proveedor inicial configurable. Docker Compose, Supabase CLI y un adaptador Docker cubren el entorno local. Esta actualización preserva la fecha y los compromisos de la sesión y no acredita implementación.</w:t>
      </w:r>
    </w:p>
    <w:p>
      <w:r>
        <w:br w:type="page"/>
      </w:r>
    </w:p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Línea base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Usar Informe_ERS_Alunza.docx como referencia funcional; cualquier cambio posterior deberá quedar registrado y justificado.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Arquitectura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t>Registrar AD-ARQ-001 como arquitectura híbrida definitiva y mantener una API de dominio única en NestJS, con límites explícitos entre Vercel, Supabase y Azure.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Degradación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Persistir el intento y mostrar test cases aunque fallen el LLM o el RAG; usar la categoría unknown cuando falte evidencia.</w:t>
            </w:r>
          </w:p>
        </w:tc>
      </w:tr>
    </w:tbl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</w:rPr>
              <w:t>ID y actividad comprometida</w:t>
            </w:r>
            <w:r>
              <w:rPr>
                <w:rFonts w:ascii="Arial" w:hAnsi="Arial" w:eastAsia="Calibri"/>
                <w:b/>
                <w:i w:val="0"/>
                <w:color w:val="FFFFFF"/>
                <w:sz w:val="18"/>
                <w:lang w:val="es-CL"/>
              </w:rPr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t>C-016 · Actualizar los mockups y el relato de Presentacion_Alunza_CAPSTONE_Fase1.pptx.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31-08-2026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t>C-017 · Consolidar AD-ARQ-001, la autorización NestJS/Supabase RLS y el despliegue híbrido, incluido el entorno local con Docker Compose.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31-08-2026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>
              <w:t>C-018 · Consolidar el modelo de datos y documentar pruebas de RLS, Sandbox e IA/RAG para seguridad, latencia, costo y límites.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31-08-2026</w:t>
            </w:r>
          </w:p>
        </w:tc>
      </w:tr>
    </w:tbl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>•  AD-ARQ-001 y AD-IA-001 cierran stack, proveedor inicial, índice, ejecutor y despliegue; permanecen pendientes las validaciones de seguridad, latencia, costo, límites y región.</w:t>
      </w:r>
      <w:r>
        <w:rPr>
          <w:rFonts w:ascii="Arial" w:hAnsi="Arial"/>
          <w:b w:val="0"/>
          <w:color w:val="212529"/>
        </w:rPr>
      </w:r>
    </w:p>
    <w:p>
      <w:pPr>
        <w:widowControl/>
        <w:spacing w:before="0" w:after="36" w:line="245" w:lineRule="auto"/>
        <w:ind w:left="312" w:hanging="170"/>
      </w:pPr>
      <w:r>
        <w:rPr>
          <w:rFonts w:ascii="Arial" w:hAnsi="Arial"/>
          <w:b/>
          <w:color w:val="008A8A"/>
        </w:rPr>
        <w:t xml:space="preserve">•  </w:t>
      </w:r>
      <w:r>
        <w:rPr>
          <w:rFonts w:ascii="Arial" w:hAnsi="Arial"/>
          <w:b w:val="0"/>
          <w:color w:val="212529"/>
        </w:rPr>
        <w:t>Una arquitectura demasiado distribuida podría aumentar integración, operación y documentación sin aportar al flujo principal.</w:t>
      </w:r>
    </w:p>
    <w:p>
      <w:pPr>
        <w:pStyle w:val="AlunzaSection"/>
        <w:keepNext/>
        <w:spacing w:before="120" w:after="60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31 de agosto de 2026 · 19:00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Auditar todos los artefactos de Fase 1, eliminar contradicciones y cerrar pendientes de presentación.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 y estados fueron revisados internamente por el equipo Alunza. Los cierres corresponden a definición o documentación y no implican software implementado.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ALZ-MIN-006 - Línea base funcional y arquitectura conceptual</dc:title>
  <dc:subject>Proyecto Alunza - CAPSTONE 2026-2 - Fase 1</dc:subject>
  <dc:creator/>
  <cp:keywords>Alunza, CAPSTONE, Fase 1, ALZ-MIN-006, S1, versión 1.1</cp:keywords>
  <dc:description>Registro interno de definición y planificación; no acredita implementación ni aprobación docente.</dc:description>
  <cp:lastModifiedBy/>
  <cp:revision>2</cp:revision>
  <dcterms:created xsi:type="dcterms:W3CDTF">2026-08-27T18:30:00Z</dcterms:created>
  <dcterms:modified xsi:type="dcterms:W3CDTF">2026-09-03T12:00:00Z</dcterms:modified>
  <cp:category/>
</cp:coreProperties>
</file>