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</w:pPr>
      <w:r>
        <w:rPr>
          <w:rFonts w:ascii="Calibri" w:hAnsi="Calibri" w:eastAsia="Calibri"/>
          <w:b/>
          <w:color w:val="0D7C78"/>
          <w:sz w:val="17"/>
          <w:lang w:val="es-CL"/>
        </w:rPr>
        <w:t>REGISTRO DE REUNIÓN</w:t>
      </w:r>
    </w:p>
    <w:p>
      <w:pPr>
        <w:pStyle w:val="AlunzaTitle"/>
      </w:pPr>
      <w:r>
        <w:t>Minuta de reunión</w:t>
      </w:r>
    </w:p>
    <w:p>
      <w:pPr>
        <w:pStyle w:val="AlunzaSubtitle"/>
      </w:pPr>
      <w:r>
        <w:t>Auditoría de artefactos y preparación de la entrega de Fase 1</w:t>
      </w:r>
    </w:p>
    <w:p>
      <w:pPr>
        <w:keepNext/>
        <w:widowControl/>
        <w:spacing w:before="0" w:after="140" w:line="240" w:lineRule="auto"/>
        <w:pBdr>
          <w:bottom w:val="single" w:sz="16" w:space="4" w:color="F2B600"/>
        </w:pBdr>
      </w:pPr>
      <w:r>
        <w:rPr>
          <w:rFonts w:ascii="Calibri" w:hAnsi="Calibri" w:eastAsia="Calibri"/>
          <w:b/>
          <w:color w:val="555B63"/>
          <w:sz w:val="18"/>
          <w:lang w:val="es-CL"/>
        </w:rPr>
        <w:t>ALZ-MIN-007   ·   SEMANA 4   ·   SESIÓN A  ·  S1  ·  v1.2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Proyecto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Alunza —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Código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ALZ-MIN-007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Semana / sesión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Semana 4 · Sesión 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Fecha y hora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31 de agosto de 2026 · 19:00 a 19:45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Modalidad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Tipo de reunión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Control de calidad documental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Sprint / iteración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S1 - Definición y diseño inicial (semanas 3-4)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Versión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1.2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Seguimiento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C-016 a C-018: cerrados en diseño documental; presentación, arquitectura y planes listos para auditoría. Revisión técnica 04/09/2026: arquitectura híbrida consolidada.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1. </w:t>
      </w:r>
      <w:r>
        <w:rPr>
          <w:rFonts w:ascii="Calibri" w:hAnsi="Calibri" w:eastAsia="Calibri"/>
          <w:b/>
          <w:color w:val="10243A"/>
          <w:sz w:val="24"/>
          <w:lang w:val="es-CL"/>
        </w:rPr>
        <w:t>Objetivo de la reunión</w:t>
      </w:r>
    </w:p>
    <w:p>
      <w:pPr>
        <w:keepLines w:val="0"/>
        <w:widowControl/>
        <w:spacing w:before="0" w:after="8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Verificar que la definición, los requisitos, la planificación, los mockups y la presentación sean coherentes entre sí y respondan a los entregables solicitados para la Fase 1.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2. </w:t>
      </w:r>
      <w:r>
        <w:rPr>
          <w:rFonts w:ascii="Calibri" w:hAnsi="Calibri" w:eastAsia="Calibri"/>
          <w:b/>
          <w:color w:val="10243A"/>
          <w:sz w:val="24"/>
          <w:lang w:val="es-CL"/>
        </w:rPr>
        <w:t>Participantes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Participante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Foco principal en la sesión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Asistencia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Benjamin Pérez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UX/UI, frontend y documentación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Abraham Retamal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Datos, IA/RAG y calidad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Marcelo Núñez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Product Owner, backend e integración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3. </w:t>
      </w:r>
      <w:r>
        <w:rPr>
          <w:rFonts w:ascii="Calibri" w:hAnsi="Calibri" w:eastAsia="Calibri"/>
          <w:b/>
          <w:color w:val="10243A"/>
          <w:sz w:val="24"/>
          <w:lang w:val="es-CL"/>
        </w:rPr>
        <w:t>Temas tratados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Minutas y artefactos disponibles en la carpeta: acta de constitución, avance de Sprint 1, ERS, casos de uso, roadmap, historias, backlogs y mockups.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Control de versiones, nomenclatura de archivos y evidencia de contribución por integrante en los artefactos de la carpeta.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Coherencia entre objetivos, alcance Must/Should/Could/Won't y criterios de éxito.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Selección formal de IA/RAG, criterios de trazabilidad, aislamiento, costo, latencia y degradación segura.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4. </w:t>
      </w:r>
      <w:r>
        <w:rPr>
          <w:rFonts w:ascii="Calibri" w:hAnsi="Calibri" w:eastAsia="Calibri"/>
          <w:b/>
          <w:color w:val="10243A"/>
          <w:sz w:val="24"/>
          <w:lang w:val="es-CL"/>
        </w:rPr>
        <w:t>Síntesis de la sesión</w:t>
      </w:r>
    </w:p>
    <w:p>
      <w:pPr>
        <w:keepLines w:val="0"/>
        <w:widowControl/>
        <w:spacing w:before="0" w:after="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El equipo realizó una revisión cruzada de los artefactos de Fase 1. AD-IA-001 mantiene Azure OpenAI como proveedor inicial configurable y pgvector en Supabase. La revisión técnica del 04/09/2026 añadió AD-ARQ-001 para la arquitectura híbrida Vercel-Supabase-Azure y Vercel Sandbox. NestJS valida el JWT de Supabase Auth y conserva dominio, autorización, auditoría y orquestación; RLS protege datos y Storage por organización y clase. Informe_ERS_Alunza.docx versión 1.3 es la fuente principal para resolver diferencias. Ninguna de estas decisiones implica integración implementada.</w:t>
      </w:r>
    </w:p>
    <w:p>
      <w:r>
        <w:br w:type="page"/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5. </w:t>
      </w:r>
      <w:r>
        <w:rPr>
          <w:rFonts w:ascii="Calibri" w:hAnsi="Calibri" w:eastAsia="Calibri"/>
          <w:b/>
          <w:color w:val="10243A"/>
          <w:sz w:val="24"/>
          <w:lang w:val="es-CL"/>
        </w:rPr>
        <w:t>Acuerdos adoptados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Tema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Acuerdo adoptado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Trazabilidad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Usar una matriz común entre objetivos, requisitos, casos de uso, historias, mockups y pruebas previstas.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Evidencias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Mantener la carpeta de evidencias actualizada, sin secretos ni datos personales reales, con nombres de archivo consistentes y contribuciones identificables por integrante.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IA / RAG</w:t>
            </w:r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Mantener AD-IA-001 y registrar AD-ARQ-001: Vercel para frontend y Sandbox, Supabase para Auth/datos/Storage/RLS/pgvector y Azure para NestJS/Azure OpenAI; validar aislamiento, salida, costo, latencia y fallback.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6. </w:t>
      </w:r>
      <w:r>
        <w:rPr>
          <w:rFonts w:ascii="Calibri" w:hAnsi="Calibri" w:eastAsia="Calibri"/>
          <w:b/>
          <w:color w:val="10243A"/>
          <w:sz w:val="24"/>
          <w:lang w:val="es-CL"/>
        </w:rPr>
        <w:t>Compromisos y responsables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</w:rPr>
              <w:t>ID y actividad comprometida</w:t>
            </w:r>
            <w:r>
              <w:rPr>
                <w:rFonts w:ascii="Arial" w:hAnsi="Arial" w:eastAsia="Calibri"/>
                <w:b/>
                <w:i w:val="0"/>
                <w:color w:val="FFFFFF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Fecha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C-019 · Cerrar presentación, mockups y narrativa del problema y solución.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Benjamin Pérez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02-09-2026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C-020 · Registrar AD-IA-001 y AD-ARQ-001, actualizar criterios de aceptación y retirar referencias a alternativas descartadas.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Abraham Retamal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02-09-2026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C-021 · Actualizar Roadmap_Agil_Alunza_2026.pptx, los backlogs, el registro de riesgos y los requisitos técnicos.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Marcelo Núñez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02-09-2026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7. </w:t>
      </w:r>
      <w:r>
        <w:rPr>
          <w:rFonts w:ascii="Calibri" w:hAnsi="Calibri" w:eastAsia="Calibri"/>
          <w:b/>
          <w:color w:val="10243A"/>
          <w:sz w:val="24"/>
          <w:lang w:val="es-CL"/>
        </w:rPr>
        <w:t>Riesgos y bloqueos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Contradicciones entre versiones anteriores y la línea base documentada en Informe_ERS_Alunza.docx.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Presentar decisiones de diseño como si ya existiera software integrado o validado.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8. </w:t>
      </w:r>
      <w:r>
        <w:rPr>
          <w:rFonts w:ascii="Calibri" w:hAnsi="Calibri" w:eastAsia="Calibri"/>
          <w:b/>
          <w:color w:val="10243A"/>
          <w:sz w:val="24"/>
          <w:lang w:val="es-CL"/>
        </w:rPr>
        <w:t>Próxima sesión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Próxima fecha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2 de septiembre de 2026 · 18:30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Realizar la revisión final, ensayar la presentación y dejar definido el objetivo del Sprint 2, primer sprint de desarrollo.</w:t>
            </w:r>
          </w:p>
        </w:tc>
      </w:tr>
    </w:tbl>
    <w:p>
      <w:pPr>
        <w:widowControl/>
        <w:spacing w:before="120" w:after="80" w:line="240" w:lineRule="auto"/>
      </w:pP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4C44E"/>
          <w:left w:val="single" w:sz="6" w:space="0" w:color="E4C44E"/>
          <w:bottom w:val="single" w:sz="6" w:space="0" w:color="E4C44E"/>
          <w:right w:val="single" w:sz="6" w:space="0" w:color="E4C44E"/>
          <w:insideH w:val="single" w:sz="0" w:space="0" w:color="E4C44E"/>
          <w:insideV w:val="single" w:sz="0" w:space="0" w:color="E4C44E"/>
        </w:tblBorders>
      </w:tblPr>
      <w:tblGrid>
        <w:gridCol w:w="9976"/>
      </w:tblGrid>
      <w:tr>
        <w:trPr>
          <w:cantSplit/>
        </w:trPr>
        <w:tc>
          <w:tcPr>
            <w:tcW w:type="dxa" w:w="9576"/>
            <w:shd w:fill="FFF5CC" w:val="clea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0243A"/>
                <w:sz w:val="18"/>
                <w:lang w:val="es-CL"/>
              </w:rPr>
              <w:t>Observación: los acuerdos y estados fueron revisados internamente por el equipo Alunza. Los cierres corresponden a definición o documentación y no implican software implementado.</w:t>
            </w:r>
            <w:r>
              <w:rPr>
                <w:rFonts w:ascii="Calibri" w:hAnsi="Calibri" w:eastAsia="Calibri"/>
                <w:color w:val="555B63"/>
                <w:sz w:val="18"/>
                <w:lang w:val="es-CL"/>
              </w:rPr>
            </w:r>
          </w:p>
        </w:tc>
      </w:tr>
    </w:tbl>
    <w:sectPr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65" w:right="965" w:bottom="965" w:left="9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7A818A"/>
        <w:sz w:val="17"/>
        <w:lang w:val="es-CL"/>
      </w:rPr>
      <w:t xml:space="preserve">Alunza · CAPSTONE 2026-2 · Página </w:t>
    </w:r>
    <w:r>
      <w:rPr>
        <w:rFonts w:ascii="Calibri" w:hAnsi="Calibri"/>
        <w:color w:val="7A818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left"/>
      <w:pBdr>
        <w:bottom w:val="single" w:sz="4" w:space="4" w:color="D9DEE5"/>
      </w:pBdr>
    </w:pPr>
    <w:r>
      <w:rPr>
        <w:rFonts w:ascii="Calibri" w:hAnsi="Calibri" w:eastAsia="Calibri"/>
        <w:b/>
        <w:color w:val="10243A"/>
        <w:sz w:val="16"/>
        <w:lang w:val="es-CL"/>
      </w:rPr>
      <w:t>ALUNZA  |  TUTOR UNIVERSITARIO INTELIGENTE PARA PROGRAMACIÓN I  |  CAPSTONE 2026-2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pacing w:after="8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unzaTitle">
    <w:name w:val="Alunza Title"/>
    <w:basedOn w:val="Normal"/>
    <w:pPr>
      <w:keepNext/>
      <w:spacing w:before="0" w:after="20"/>
    </w:pPr>
    <w:rPr>
      <w:rFonts w:ascii="Calibri" w:hAnsi="Calibri"/>
      <w:b/>
      <w:color w:val="10243A"/>
      <w:sz w:val="46"/>
    </w:rPr>
  </w:style>
  <w:style w:type="paragraph" w:customStyle="1" w:styleId="AlunzaSubtitle">
    <w:name w:val="Alunza Subtitle"/>
    <w:basedOn w:val="Normal"/>
    <w:pPr>
      <w:keepNext/>
      <w:spacing w:after="140"/>
    </w:pPr>
    <w:rPr>
      <w:rFonts w:ascii="Calibri" w:hAnsi="Calibri"/>
      <w:b/>
      <w:color w:val="183B56"/>
      <w:sz w:val="25"/>
    </w:rPr>
  </w:style>
  <w:style w:type="paragraph" w:customStyle="1" w:styleId="AlunzaSection">
    <w:name w:val="Alunza Section"/>
    <w:basedOn w:val="Normal"/>
    <w:pPr>
      <w:keepNext/>
      <w:widowControl/>
      <w:spacing w:before="140" w:after="80"/>
    </w:pPr>
    <w:rPr>
      <w:rFonts w:ascii="Calibri" w:hAnsi="Calibri"/>
      <w:b/>
      <w:color w:val="10243A"/>
      <w:sz w:val="24"/>
    </w:rPr>
  </w:style>
  <w:style w:type="paragraph" w:customStyle="1" w:styleId="AlunzaSmall">
    <w:name w:val="Alunza Small"/>
    <w:basedOn w:val="Normal"/>
    <w:pPr>
      <w:spacing w:after="40"/>
    </w:pPr>
    <w:rPr>
      <w:rFonts w:ascii="Calibri" w:hAnsi="Calibri"/>
      <w:color w:val="55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Duoc UC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ALZ-MIN-007 - Auditoría de artefactos y preparación de la entrega de Fase 1</dc:title>
  <dc:subject>Proyecto Alunza - CAPSTONE 2026-2 - Fase 1</dc:subject>
  <dc:creator/>
  <cp:keywords>Alunza, CAPSTONE, Fase 1, ALZ-MIN-007, S1, versión 1.1</cp:keywords>
  <dc:description>Registro interno de definición y planificación; no acredita implementación ni aprobación docente.</dc:description>
  <cp:lastModifiedBy/>
  <cp:revision>2</cp:revision>
  <dcterms:created xsi:type="dcterms:W3CDTF">2026-08-31T19:00:00Z</dcterms:created>
  <dcterms:modified xsi:type="dcterms:W3CDTF">2026-09-03T12:30:00Z</dcterms:modified>
  <cp:category/>
</cp:coreProperties>
</file>