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FDD7" w14:textId="77777777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541D3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B7B2261" w14:textId="7777777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7DE2BE33" w14:textId="7777777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45C541D3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B7B2261" w14:textId="7777777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7DE2BE33" w14:textId="7777777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1D9107C2" w14:textId="77777777" w:rsidR="00CA2536" w:rsidRDefault="00CA2536" w:rsidP="00D110EC"/>
    <w:p w14:paraId="5FE37178" w14:textId="77777777" w:rsidR="00CA2536" w:rsidRDefault="00CA2536" w:rsidP="00D110EC"/>
    <w:p w14:paraId="3384FA30" w14:textId="77777777" w:rsidR="00CA2536" w:rsidRDefault="00CA2536" w:rsidP="00D110EC"/>
    <w:p w14:paraId="0F7EC501" w14:textId="77777777" w:rsidR="00CA2536" w:rsidRPr="00523C01" w:rsidRDefault="00CA2536" w:rsidP="00D110EC"/>
    <w:p w14:paraId="0D58685F" w14:textId="77777777" w:rsidR="00D110EC" w:rsidRDefault="00D110EC" w:rsidP="00D110EC"/>
    <w:p w14:paraId="13A8B00C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4976844A" w14:textId="77777777" w:rsidR="00D110E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2C24460D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62BDF31B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  <w:tr w:rsidR="00D110EC" w14:paraId="484A6225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6A02224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BF2EA6">
              <w:rPr>
                <w:rFonts w:ascii="Calibri" w:hAnsi="Calibri"/>
                <w:color w:val="1F3864" w:themeColor="accent1" w:themeShade="80"/>
              </w:rPr>
              <w:t xml:space="preserve">A continuación, se presenta una tabla en la que debes completar la información solicitada. </w:t>
            </w:r>
          </w:p>
        </w:tc>
      </w:tr>
    </w:tbl>
    <w:p w14:paraId="68A3FF94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565AB8E4" w14:textId="77777777" w:rsidTr="14C86939">
        <w:trPr>
          <w:trHeight w:val="440"/>
        </w:trPr>
        <w:tc>
          <w:tcPr>
            <w:tcW w:w="2534" w:type="dxa"/>
            <w:vAlign w:val="center"/>
          </w:tcPr>
          <w:p w14:paraId="7690BE4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29E1CBF8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1F3864"/>
                <w:sz w:val="20"/>
              </w:rPr>
              <w:t>Marcelo Ignacio Núñez San Martín</w:t>
            </w:r>
          </w:p>
        </w:tc>
      </w:tr>
      <w:tr w:rsidR="00D110EC" w14:paraId="1348C72D" w14:textId="77777777" w:rsidTr="14C86939">
        <w:trPr>
          <w:trHeight w:val="418"/>
        </w:trPr>
        <w:tc>
          <w:tcPr>
            <w:tcW w:w="2534" w:type="dxa"/>
            <w:vAlign w:val="center"/>
          </w:tcPr>
          <w:p w14:paraId="7173EDD3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777A02E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1F3864"/>
                <w:sz w:val="20"/>
              </w:rPr>
              <w:t>99.999.999-9</w:t>
            </w:r>
          </w:p>
        </w:tc>
      </w:tr>
      <w:tr w:rsidR="00D110EC" w14:paraId="29ACFD18" w14:textId="77777777" w:rsidTr="14C86939">
        <w:trPr>
          <w:trHeight w:val="425"/>
        </w:trPr>
        <w:tc>
          <w:tcPr>
            <w:tcW w:w="2534" w:type="dxa"/>
            <w:vAlign w:val="center"/>
          </w:tcPr>
          <w:p w14:paraId="6A0DC13E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CBB54B2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1F3864"/>
                <w:sz w:val="20"/>
              </w:rPr>
              <w:t>Ingeniería en Informática</w:t>
            </w:r>
          </w:p>
        </w:tc>
      </w:tr>
      <w:tr w:rsidR="00D110EC" w14:paraId="3CBA23FA" w14:textId="77777777" w:rsidTr="14C86939">
        <w:trPr>
          <w:trHeight w:val="417"/>
        </w:trPr>
        <w:tc>
          <w:tcPr>
            <w:tcW w:w="2534" w:type="dxa"/>
            <w:vAlign w:val="center"/>
          </w:tcPr>
          <w:p w14:paraId="6C763FA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0F75FEB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1F3864"/>
                <w:sz w:val="20"/>
              </w:rPr>
              <w:t>Puente Alto</w:t>
            </w:r>
          </w:p>
        </w:tc>
      </w:tr>
    </w:tbl>
    <w:p w14:paraId="4C02F1B4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0E5D239B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27FF75F6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2. Descripción Proyecto APT</w:t>
            </w:r>
          </w:p>
        </w:tc>
      </w:tr>
      <w:tr w:rsidR="00D110EC" w14:paraId="726C0F8D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62B9E7E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 w:rsidRPr="00BF2EA6">
              <w:rPr>
                <w:rFonts w:ascii="Calibri" w:hAnsi="Calibri"/>
                <w:color w:val="1F3864" w:themeColor="accent1" w:themeShade="80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369D94E0" w14:textId="77777777" w:rsidR="00D110EC" w:rsidRPr="00AC0C8B" w:rsidRDefault="00D110EC" w:rsidP="00D110EC">
      <w:pPr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771D94D5" w14:textId="77777777" w:rsidTr="14C86939">
        <w:trPr>
          <w:trHeight w:val="440"/>
        </w:trPr>
        <w:tc>
          <w:tcPr>
            <w:tcW w:w="2587" w:type="dxa"/>
            <w:vAlign w:val="center"/>
          </w:tcPr>
          <w:p w14:paraId="56652A91" w14:textId="77777777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021EEAAD" w14:textId="77777777" w:rsidR="007A460C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1F3864"/>
                <w:sz w:val="20"/>
              </w:rPr>
              <w:t>Alunza — Tutor Universitario Inteligente para Programación I</w:t>
            </w:r>
            <w:proofErr w:type="spellEnd"/>
            <w:r>
              <w:rPr>
                <w:rFonts w:ascii="Calibri" w:hAnsi="Calibri"/>
                <w:b/>
                <w:color w:val="1F3864"/>
                <w:sz w:val="20"/>
              </w:rPr>
            </w:r>
          </w:p>
        </w:tc>
      </w:tr>
      <w:tr w:rsidR="00D110EC" w14:paraId="30C832E4" w14:textId="77777777" w:rsidTr="14C86939">
        <w:trPr>
          <w:trHeight w:val="418"/>
        </w:trPr>
        <w:tc>
          <w:tcPr>
            <w:tcW w:w="2587" w:type="dxa"/>
            <w:vAlign w:val="center"/>
          </w:tcPr>
          <w:p w14:paraId="44E3B31B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</w:tcPr>
          <w:p w14:paraId="6E5AE9C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9"/>
              </w:rPr>
              <w:t>Desarrollo de software; gestión de proyectos informáticos; modelamiento y gestión de datos; aseguramiento de calidad, pruebas y seguridad de soluciones TI.</w:t>
            </w:r>
          </w:p>
        </w:tc>
      </w:tr>
      <w:tr w:rsidR="00D110EC" w14:paraId="4980B6B0" w14:textId="77777777" w:rsidTr="14C86939">
        <w:trPr>
          <w:trHeight w:val="425"/>
        </w:trPr>
        <w:tc>
          <w:tcPr>
            <w:tcW w:w="2587" w:type="dxa"/>
            <w:vAlign w:val="center"/>
          </w:tcPr>
          <w:p w14:paraId="0B55315E" w14:textId="77777777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5E53A323" w14:textId="77777777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</w:tcPr>
          <w:p w14:paraId="49A65433" w14:textId="77777777" w:rsidR="007A460C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Competencias integradas del perfil de egreso:</w:t>
            </w:r>
          </w:p>
          <w:p w14:paraId="0CF9043E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C1. Realizar pruebas de certificación de productos y procesos aplicando buenas prácticas de la industria.</w:t>
            </w:r>
          </w:p>
          <w:p w14:paraId="48247E96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C2. Gestionar proyectos informáticos y apoyar la toma de decisiones según los requerimientos de la organización.</w:t>
            </w:r>
          </w:p>
          <w:p w14:paraId="3B1925F2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C3. Construir modelos de datos escalables que soporten los requerimientos de la solución.</w:t>
            </w:r>
          </w:p>
          <w:p w14:paraId="4ED18C81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C4. Desarrollar una solución de software con técnicas que sistematicen su construcción y mantenimiento.</w:t>
            </w:r>
          </w:p>
          <w:p w14:paraId="580817AA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C5. Comunicar resultados técnicos de forma oral y escrita, incluyendo los productos en inglés exigidos por CAPSTONE.</w:t>
            </w:r>
          </w:p>
        </w:tc>
      </w:tr>
    </w:tbl>
    <w:p w14:paraId="69ED6749" w14:textId="77777777" w:rsidR="009D04DC" w:rsidRDefault="009D04D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665027D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53A04432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  <w:tr w:rsidR="00D110EC" w14:paraId="79D82E8B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C1D4476" w14:textId="77777777" w:rsidR="00D110EC" w:rsidRPr="00AC0C8B" w:rsidRDefault="00D110EC" w:rsidP="000A006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AC0C8B">
              <w:rPr>
                <w:rFonts w:ascii="Calibri" w:hAnsi="Calibri"/>
                <w:color w:val="1F3864" w:themeColor="accent1" w:themeShade="80"/>
              </w:rPr>
              <w:t>A continuación, se presentan distintos campos que debes completar con la información solicitada. Esta sección busca que describas en detalle tu proyecto</w:t>
            </w:r>
            <w:r w:rsidR="008018E6">
              <w:rPr>
                <w:rFonts w:ascii="Calibri" w:hAnsi="Calibri"/>
                <w:color w:val="1F3864" w:themeColor="accent1" w:themeShade="80"/>
              </w:rPr>
              <w:t xml:space="preserve"> y justifiques su relevancia y pertinencia.</w:t>
            </w:r>
            <w:r w:rsidRPr="00AC0C8B">
              <w:rPr>
                <w:rFonts w:ascii="Calibri" w:hAnsi="Calibri"/>
                <w:color w:val="1F3864" w:themeColor="accent1" w:themeShade="80"/>
              </w:rPr>
              <w:t xml:space="preserve">  </w:t>
            </w:r>
          </w:p>
        </w:tc>
      </w:tr>
    </w:tbl>
    <w:p w14:paraId="757E75D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2D3A6959" w14:textId="77777777" w:rsidTr="14C86939">
        <w:trPr>
          <w:cantSplit/>
          <w:trHeight w:val="2443"/>
        </w:trPr>
        <w:tc>
          <w:tcPr>
            <w:tcW w:w="1256" w:type="pct"/>
            <w:vAlign w:val="center"/>
          </w:tcPr>
          <w:p w14:paraId="0F7CAABB" w14:textId="77777777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</w:tcPr>
          <w:p w14:paraId="3CAE7CC2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 xml:space="preserve">En los cursos iniciales de programación, muchos estudiantes saben que su respuesta es incorrecta, pero no logran distinguir si la causa está en la sintaxis, la interpretación del enunciado, la lógica o un caso límite. El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feedback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tardío o genérico favorece que repitan el mismo error y limita el aprendizaje autónomo. Paralelamente, el profesor suele observar la entrega final sin contar con tiempo ni herramientas para revisar intentos, ejecuciones, casos de prueba fallidos, pistas utilizadas y patrones de toda la clase.</w:t>
            </w:r>
          </w:p>
          <w:p w14:paraId="0CF4FA7E" w14:textId="77777777" w:rsidR="007A460C" w:rsidRDefault="00000000">
            <w:pPr>
              <w:spacing w:after="60" w:line="252" w:lineRule="auto"/>
              <w:jc w:val="both"/>
            </w:pPr>
            <w:proofErr w:type="spellStart"/>
            <w:r>
              <w:rPr>
                <w:rFonts w:ascii="Calibri" w:hAnsi="Calibri"/>
                <w:color w:val="243247"/>
                <w:sz w:val="18"/>
              </w:rPr>
              <w:t>Alunza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aborda esta brecha en el contexto de asignaturas de Programación I impartidas por instituciones de educación superior. Sus usuarios directos serán estudiantes y profesores; la institución académica será el cliente objetivo. La solución es relevante para Ingeniería en Informática porque exige integrar desarrollo web, arquitectura, datos, seguridad, pruebas, despliegue e inteligencia artificial responsable en una aplicación completa. Su aporte consiste en transformar cada intento en evidencia verificable: el estudiante recibe orientación contextual y el profesor puede priorizar intervenciones mediante señales explicables de inactividad, error repetido y estancamiento.</w:t>
            </w:r>
          </w:p>
        </w:tc>
      </w:tr>
      <w:tr w:rsidR="00D110EC" w14:paraId="4E24E847" w14:textId="77777777" w:rsidTr="14C86939">
        <w:trPr>
          <w:cantSplit/>
          <w:trHeight w:val="1037"/>
        </w:trPr>
        <w:tc>
          <w:tcPr>
            <w:tcW w:w="1256" w:type="pct"/>
            <w:vAlign w:val="center"/>
          </w:tcPr>
          <w:p w14:paraId="34E8504D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</w:tcPr>
          <w:p w14:paraId="4F5D7310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Se desarrollará y validará un MVP web B2B de tutoría inteligente para Programación I con JavaScript. El profesor podrá organizar una clase, publicar actividades y revisar evidencia sobre el desempeño. El estudiante podrá escribir y ejecutar código corto en un entorno controlado, conocer el resultado de casos de prueba, reintentar, solicitar pistas progresivas y consultar explicaciones alineadas con el material oficial del curso.</w:t>
            </w:r>
          </w:p>
          <w:p w14:paraId="4F140587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La evaluación técnica, la autorización y el registro de eventos serán determinísticos; la IA apoyará el diagnóstico estructurado y la generación de feedback. Un RAG mínimo recuperará top-k=5 fragmentos autorizados de los 2 documentos definidos para cada clase, aplicará filtros obligatorios y mostrará la fuente utilizada. Si el modelo o la recuperación fallan, el sistema mantendrá operativos la ejecución, los resultados y el registro del intento. El MVP no reemplazará al profesor, no asignará calificaciones de alto impacto ni funcionará como un LMS completo.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</w:r>
          </w:p>
        </w:tc>
      </w:tr>
      <w:tr w:rsidR="00D110EC" w14:paraId="764FB5E2" w14:textId="77777777" w:rsidTr="14C86939">
        <w:trPr>
          <w:cantSplit/>
          <w:trHeight w:val="866"/>
        </w:trPr>
        <w:tc>
          <w:tcPr>
            <w:tcW w:w="1256" w:type="pct"/>
            <w:vAlign w:val="center"/>
          </w:tcPr>
          <w:p w14:paraId="78EFDCA2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</w:tcPr>
          <w:p w14:paraId="24F021D3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El proyecto se relaciona directamente con el perfil de egreso de Ingeniería en Informática porque requiere diseñar y construir una solución integral, gestionar su alcance y riesgos, modelar los datos académicos, asegurar la calidad y desplegar el producto de manera reproducible.</w:t>
            </w:r>
          </w:p>
          <w:p w14:paraId="2B4E4F94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 xml:space="preserve">C1 se evidencia en las pruebas unitarias, de integración, rendimiento y seguridad; C2, en el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Product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Backlog, los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sprints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, el control de riesgos y la trazabilidad; C3, en el modelo de usuarios, clases, actividades, ejercicios, intentos, eventos, documentos y señales; C4, en la aplicación web, API, ejecutor controlado, RAG,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observabilidad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y Docker; y C5, en la documentación, el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abstract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y la presentación. Estas competencias son necesarias para que la solución sea funcional, mantenible, segura, verificable y coherente con los objetivos del proyecto.</w:t>
            </w:r>
          </w:p>
        </w:tc>
      </w:tr>
      <w:tr w:rsidR="00D110EC" w14:paraId="41144DC1" w14:textId="77777777" w:rsidTr="14C86939">
        <w:trPr>
          <w:cantSplit/>
          <w:trHeight w:val="866"/>
        </w:trPr>
        <w:tc>
          <w:tcPr>
            <w:tcW w:w="1256" w:type="pct"/>
            <w:vAlign w:val="center"/>
          </w:tcPr>
          <w:p w14:paraId="6B018620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3744" w:type="pct"/>
          </w:tcPr>
          <w:p w14:paraId="3483708A" w14:textId="77777777" w:rsidR="007A460C" w:rsidRDefault="00000000">
            <w:pPr>
              <w:spacing w:after="60" w:line="252" w:lineRule="auto"/>
              <w:jc w:val="both"/>
            </w:pPr>
            <w:proofErr w:type="spellStart"/>
            <w:r>
              <w:rPr>
                <w:rFonts w:ascii="Calibri" w:hAnsi="Calibri"/>
                <w:color w:val="243247"/>
                <w:sz w:val="18"/>
              </w:rPr>
              <w:t>Alunza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reúne intereses profesionales del equipo en desarrollo full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stack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y experiencia de usuario, arquitectura y seguridad, modelamiento de datos, inteligencia artificial aplicada, analítica y aseguramiento de calidad. También permite explorar el ámbito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EdTech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y el uso responsable de IA en procesos formativos.</w:t>
            </w:r>
          </w:p>
          <w:p w14:paraId="31811BCD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El trabajo fortalecerá la capacidad de convertir una necesidad real en un producto digital integrado, colaborar mediante control de versiones y revisiones cruzadas, medir la calidad con evidencia y comunicar decisiones técnicas. La asignación inicial considera tres áreas —Producto/UX/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;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>/dominio/seguridad; y datos/IA/calidad— con participación de todos en código, pruebas y documentación para evitar silos y demostrar las competencias transversales.</w:t>
            </w:r>
          </w:p>
        </w:tc>
      </w:tr>
      <w:tr w:rsidR="00D110EC" w14:paraId="38CE957D" w14:textId="77777777" w:rsidTr="14C86939">
        <w:trPr>
          <w:cantSplit/>
          <w:trHeight w:val="132"/>
        </w:trPr>
        <w:tc>
          <w:tcPr>
            <w:tcW w:w="1256" w:type="pct"/>
            <w:vAlign w:val="center"/>
          </w:tcPr>
          <w:p w14:paraId="42F7CD7D" w14:textId="77777777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Factibilidad de desarrollo del Proyecto APT</w:t>
            </w:r>
          </w:p>
        </w:tc>
        <w:tc>
          <w:tcPr>
            <w:tcW w:w="3744" w:type="pct"/>
          </w:tcPr>
          <w:p w14:paraId="37930F39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El proyecto es factible dentro de las 18 semanas del semestre porque se limita a una sola vertical demostrable, será desarrollado por tres integrantes y prioriza un MVP mediante MoSCoW. La demo canónica usará 2 organizaciones, 2 administradores, 2 profesores, 8 estudiantes, 3 clases, 10 ejercicios y 2 documentos por clase, con datos ficticios reproducibles y tres señales docentes.</w:t>
            </w:r>
            <w:proofErr w:type="gramStart"/>
            <w:r>
              <w:rPr>
                <w:rFonts w:ascii="Calibri" w:hAnsi="Calibri"/>
                <w:color w:val="243247"/>
                <w:sz w:val="18"/>
              </w:rPr>
            </w:r>
            <w:proofErr w:type="gramEnd"/>
            <w:r>
              <w:rPr>
                <w:rFonts w:ascii="Calibri" w:hAnsi="Calibri"/>
                <w:color w:val="243247"/>
                <w:sz w:val="18"/>
              </w:rPr>
            </w:r>
          </w:p>
          <w:p w14:paraId="1FBBDD3E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>Revisión técnica 04/09/2026: la arquitectura híbrida queda definida mediante AD-ARQ-001. Los recursos son Next.js/React/TypeScript en Vercel; NestJS/Node.js en Azure Container Apps; Supabase PostgreSQL/Auth/Storage/RLS/pgvector; Vercel Sandbox en producción; Azure OpenAI configurable; y Docker Compose, Supabase CLI, GitHub Actions, Jest y Cypress para desarrollo y calidad. La implementación y la validación operativa siguen pendientes.</w:t>
            </w:r>
            <w:proofErr w:type="gramStart"/>
            <w:r>
              <w:rPr>
                <w:rFonts w:ascii="Calibri" w:hAnsi="Calibri"/>
                <w:color w:val="243247"/>
                <w:sz w:val="18"/>
              </w:rPr>
            </w:r>
            <w:proofErr w:type="gramEnd"/>
            <w:r>
              <w:rPr>
                <w:rFonts w:ascii="Calibri" w:hAnsi="Calibri"/>
                <w:color w:val="243247"/>
                <w:sz w:val="18"/>
              </w:rPr>
            </w:r>
          </w:p>
          <w:p w14:paraId="05235DB5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color w:val="243247"/>
                <w:sz w:val="18"/>
              </w:rPr>
              <w:t xml:space="preserve">Los factores que podrían dificultarlo son el alcance excesivo, la ejecución insegura de código, el tiempo del RAG, diagnósticos incorrectos, costos o fallas del proveedor, integración tardía y trabajo desigual. Se mitigarán mediante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sprints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de dos semanas,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spikes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 xml:space="preserve"> tempranos, límites de ejecución, reglas determinísticas, salida validada y opción ‘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unknown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>’, degradación segura, datos ficticios, revisión cruzada, CI, integración antes del cierre de S4 (semana 10) y congelamiento de funciones al inicio de S7 (semana 15).</w:t>
            </w:r>
          </w:p>
        </w:tc>
      </w:tr>
    </w:tbl>
    <w:p w14:paraId="6849A0BE" w14:textId="77777777" w:rsidR="00D110EC" w:rsidRDefault="00D110EC" w:rsidP="00D110EC">
      <w:pPr>
        <w:rPr>
          <w:b/>
          <w:bCs/>
          <w:color w:val="4472C4" w:themeColor="accent1"/>
          <w:sz w:val="32"/>
          <w:szCs w:val="32"/>
        </w:rPr>
      </w:pPr>
    </w:p>
    <w:p w14:paraId="6BA88C09" w14:textId="77777777" w:rsidR="00D110EC" w:rsidRPr="008470D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 w:rsidRPr="008470DC"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7A31E0CE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3C112E81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  <w:tr w:rsidR="00D110EC" w14:paraId="5CD88009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68A25C9" w14:textId="77777777" w:rsidR="00D110EC" w:rsidRPr="007621F7" w:rsidRDefault="00D110EC" w:rsidP="00C27FB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621F7">
              <w:rPr>
                <w:rFonts w:ascii="Calibri" w:hAnsi="Calibri"/>
                <w:color w:val="1F3864" w:themeColor="accent1" w:themeShade="80"/>
              </w:rPr>
              <w:t>En este apartado debes definir objetivos generales y específicos del Proyecto APT.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78B4C84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73162466" w14:textId="77777777" w:rsidTr="00416B89">
        <w:trPr>
          <w:cantSplit/>
          <w:trHeight w:val="1259"/>
        </w:trPr>
        <w:tc>
          <w:tcPr>
            <w:tcW w:w="2638" w:type="dxa"/>
            <w:vAlign w:val="center"/>
          </w:tcPr>
          <w:p w14:paraId="4A75863F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</w:tcPr>
          <w:p w14:paraId="19ABE8FE" w14:textId="77777777" w:rsidR="007A460C" w:rsidRDefault="00000000">
            <w:pPr>
              <w:spacing w:after="0" w:line="252" w:lineRule="auto"/>
              <w:jc w:val="both"/>
            </w:pPr>
            <w:r>
              <w:rPr>
                <w:rFonts w:ascii="Calibri" w:hAnsi="Calibri"/>
                <w:color w:val="243247"/>
                <w:sz w:val="19"/>
              </w:rPr>
              <w:t xml:space="preserve">Desarrollar y validar, durante las 18 semanas de CAPSTONE, un MVP web de tutoría inteligente para Programación I que combine evaluación determinística de código JavaScript, </w:t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  <w:t>feedback</w:t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  <w:t xml:space="preserve"> adaptativo, recuperación de material oficial mediante RAG y analítica docente explicable.</w:t>
            </w:r>
          </w:p>
        </w:tc>
      </w:tr>
      <w:tr w:rsidR="00D110EC" w14:paraId="7A2FBDD8" w14:textId="77777777" w:rsidTr="00416B89">
        <w:trPr>
          <w:cantSplit/>
          <w:trHeight w:val="834"/>
        </w:trPr>
        <w:tc>
          <w:tcPr>
            <w:tcW w:w="2638" w:type="dxa"/>
            <w:vAlign w:val="center"/>
          </w:tcPr>
          <w:p w14:paraId="337F4BE0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</w:tcPr>
          <w:p w14:paraId="358E9CBA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 xml:space="preserve">Diseñar e implementar el flujo completo de clase, actividad, ejercicio, intento, evaluación y </w:t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  <w:t>feedback</w:t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  <w:t>.</w:t>
            </w:r>
          </w:p>
          <w:p w14:paraId="3B1F68EE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Ejecutar código JavaScript corto en un entorno controlado, con límites y casos de prueba.</w:t>
            </w:r>
          </w:p>
          <w:p w14:paraId="3F0958BD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Registrar evidencia mínima del proceso de resolución sin capturar cada pulsación del teclado.</w:t>
            </w:r>
          </w:p>
          <w:p w14:paraId="649E222D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Clasificar resultados técnicos y errores pedagógicos mediante una taxonomía controlada y una salida validada.</w:t>
            </w:r>
          </w:p>
          <w:p w14:paraId="2191F82F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Implementar un RAG mínimo que recupere material de la clase, respete sus filtros y muestre la fuente utilizada.</w:t>
            </w:r>
          </w:p>
          <w:p w14:paraId="77EAE2C3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Presentar al profesor al menos tres señales explicables basadas en reglas y datos autorizados.</w:t>
            </w:r>
          </w:p>
          <w:p w14:paraId="090A3BD1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Contener las fallas del LLM para que la evaluación técnica y el registro del intento continúen funcionando.</w:t>
            </w:r>
          </w:p>
          <w:p w14:paraId="68A586D5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Evidenciar el aporte de los tres integrantes mediante control de versiones, documentación, pruebas y retrospectivas.</w:t>
            </w:r>
          </w:p>
          <w:p w14:paraId="31328547" w14:textId="77777777" w:rsidR="007A460C" w:rsidRDefault="00000000">
            <w:pPr>
              <w:pStyle w:val="Prrafodelista"/>
              <w:numPr>
                <w:ilvl w:val="0"/>
                <w:numId w:val="4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color w:val="243247"/>
                <w:sz w:val="18"/>
              </w:rPr>
              <w:t>Entregar una solución reproducible localmente con Docker y documentación técnica.</w:t>
            </w:r>
          </w:p>
        </w:tc>
      </w:tr>
    </w:tbl>
    <w:p w14:paraId="14930B7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82CBCB5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028F9016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17506717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  <w:tr w:rsidR="00D110EC" w14:paraId="3FA56235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8974E58" w14:textId="77777777" w:rsidR="00D110EC" w:rsidRPr="00874D16" w:rsidRDefault="008069D0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En el siguiente apartado d</w:t>
            </w:r>
            <w:r w:rsidR="00D110EC" w:rsidRPr="00874D16">
              <w:rPr>
                <w:rFonts w:ascii="Calibri" w:hAnsi="Calibri"/>
                <w:color w:val="1F3864" w:themeColor="accent1" w:themeShade="80"/>
              </w:rPr>
              <w:t>eberás describir la metodología, propia de tu disciplina, que utilizarás para resolver el proyecto APT antes descrit</w:t>
            </w:r>
            <w:r>
              <w:rPr>
                <w:rFonts w:ascii="Calibri" w:hAnsi="Calibri"/>
                <w:color w:val="1F3864" w:themeColor="accent1" w:themeShade="80"/>
              </w:rPr>
              <w:t>o</w:t>
            </w:r>
            <w:r w:rsidR="00D110EC" w:rsidRPr="00874D16">
              <w:rPr>
                <w:rFonts w:ascii="Calibri" w:hAnsi="Calibri"/>
                <w:color w:val="1F3864" w:themeColor="accent1" w:themeShade="80"/>
              </w:rPr>
              <w:t xml:space="preserve">, incluyendo las etapas y métodos de trabajo.  </w:t>
            </w:r>
          </w:p>
        </w:tc>
      </w:tr>
    </w:tbl>
    <w:p w14:paraId="46B56CBC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D110EC" w:rsidRPr="00A337B2" w14:paraId="1AD9D591" w14:textId="77777777" w:rsidTr="00416B89">
        <w:tc>
          <w:tcPr>
            <w:tcW w:w="9498" w:type="dxa"/>
          </w:tcPr>
          <w:p w14:paraId="39194E33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21200813" w14:textId="77777777" w:rsidTr="00416B89">
        <w:trPr>
          <w:trHeight w:val="1920"/>
        </w:trPr>
        <w:tc>
          <w:tcPr>
            <w:tcW w:w="9498" w:type="dxa"/>
          </w:tcPr>
          <w:p w14:paraId="31E2E9C1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b/>
                <w:color w:val="1F3864"/>
                <w:sz w:val="19"/>
              </w:rPr>
              <w:t xml:space="preserve">Enfoque. </w:t>
            </w:r>
            <w:r>
              <w:rPr>
                <w:rFonts w:ascii="Calibri" w:hAnsi="Calibri"/>
                <w:b w:val="0"/>
                <w:color w:val="243247"/>
                <w:sz w:val="19"/>
              </w:rPr>
              <w:t>Se aplicará Scrum ligero, adaptado a las fechas de CAPSTONE, con nueve sprints de dos semanas: S0 en las semanas 1–2; S1 a S6 en las semanas 3–14; S7 en las semanas 15–16; y S8 en las semanas 17–18. El Product Backlog se priorizará con MoSCoW y cada incremento deberá dejar evidencia en GitHub.</w:t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</w:r>
          </w:p>
          <w:p w14:paraId="692E4EED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b/>
                <w:color w:val="1F3864"/>
                <w:sz w:val="19"/>
              </w:rPr>
              <w:t>Etapas. (1) alineación y descubrimiento; (2) definición de alcance, requisitos, riesgos y arquitectura híbrida; (3) plataforma base y modelo de datos; (4) actividad, editor, ejecutor y casos de prueba; (5) integración de telemetría; (6) diagnóstico, feedback y RAG; (7) dashboard y calidad; (8) cierre funcional, estabilización y defensa.</w:t>
            </w:r>
            <w:r>
              <w:rPr>
                <w:rFonts w:ascii="Calibri" w:hAnsi="Calibri"/>
                <w:color w:val="243247"/>
                <w:sz w:val="19"/>
              </w:rPr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</w:r>
          </w:p>
          <w:p w14:paraId="3096D4AE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b/>
                <w:color w:val="1F3864"/>
                <w:sz w:val="19"/>
              </w:rPr>
              <w:t xml:space="preserve">Ceremonias y control. </w:t>
            </w:r>
            <w:r>
              <w:rPr>
                <w:rFonts w:ascii="Calibri" w:hAnsi="Calibri"/>
                <w:color w:val="243247"/>
                <w:sz w:val="19"/>
              </w:rPr>
              <w:t xml:space="preserve">Se realizará planificación al inicio de cada sprint, sincronización breve al menos tres veces por semana, refinamiento semanal, revisión de incremento y retrospectiva. Habrá control extraordinario de alcance antes del cierre de S4 (semana 10) y al inicio de S7 (semana 15). La </w:t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  <w:t>Definition</w:t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43247"/>
                <w:sz w:val="19"/>
              </w:rPr>
              <w:t>of</w:t>
            </w:r>
            <w:proofErr w:type="spellEnd"/>
            <w:r>
              <w:rPr>
                <w:rFonts w:ascii="Calibri" w:hAnsi="Calibri"/>
                <w:color w:val="243247"/>
                <w:sz w:val="19"/>
              </w:rPr>
              <w:t xml:space="preserve"> Done exigirá criterios de aceptación, revisión cruzada, pruebas pertinentes, autorización y manejo de errores, documentación actualizada y ejecución reproducible.</w:t>
            </w:r>
          </w:p>
          <w:p w14:paraId="2569F759" w14:textId="77777777" w:rsidR="007A460C" w:rsidRDefault="00000000">
            <w:pPr>
              <w:spacing w:after="60" w:line="252" w:lineRule="auto"/>
            </w:pPr>
            <w:r>
              <w:rPr>
                <w:rFonts w:ascii="Calibri" w:hAnsi="Calibri"/>
                <w:b/>
                <w:color w:val="1F3864"/>
                <w:sz w:val="19"/>
              </w:rPr>
              <w:t>Funciones y responsabilidades iniciales:</w:t>
            </w:r>
          </w:p>
          <w:p w14:paraId="6D42C687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b/>
                <w:color w:val="1F3864"/>
                <w:sz w:val="18"/>
              </w:rPr>
              <w:t xml:space="preserve">Benjamin Pérez — </w:t>
            </w:r>
            <w:r>
              <w:rPr>
                <w:rFonts w:ascii="Calibri" w:hAnsi="Calibri"/>
                <w:color w:val="243247"/>
                <w:sz w:val="18"/>
              </w:rPr>
              <w:t>UX/UI, frontend y documentación: flujos, prototipos, interfaz, accesibilidad, pruebas E2E, documentación y apoyo a la demostración.</w:t>
            </w:r>
            <w:r>
              <w:rPr>
                <w:rFonts w:ascii="Calibri" w:hAnsi="Calibri"/>
                <w:color w:val="243247"/>
                <w:sz w:val="18"/>
              </w:rPr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</w:r>
          </w:p>
          <w:p w14:paraId="35C727E6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b/>
                <w:color w:val="1F3864"/>
                <w:sz w:val="18"/>
              </w:rPr>
              <w:t xml:space="preserve">Marcelo Núñez — </w:t>
            </w:r>
            <w:r>
              <w:rPr>
                <w:rFonts w:ascii="Calibri" w:hAnsi="Calibri"/>
                <w:color w:val="243247"/>
                <w:sz w:val="18"/>
              </w:rPr>
              <w:t>Product Owner, backend, dominio, integración y seguridad: priorización, autenticación, clases, actividades, intentos, autorización, ejecutor y Docker.</w:t>
            </w:r>
            <w:r>
              <w:rPr>
                <w:rFonts w:ascii="Calibri" w:hAnsi="Calibri"/>
                <w:color w:val="243247"/>
                <w:sz w:val="18"/>
              </w:rPr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</w:r>
          </w:p>
          <w:p w14:paraId="345269F6" w14:textId="77777777" w:rsidR="007A460C" w:rsidRDefault="00000000">
            <w:pPr>
              <w:pStyle w:val="Prrafodelista"/>
              <w:numPr>
                <w:ilvl w:val="0"/>
                <w:numId w:val="3"/>
              </w:numPr>
              <w:spacing w:after="40" w:line="252" w:lineRule="auto"/>
              <w:ind w:left="360" w:hanging="180"/>
            </w:pPr>
            <w:r>
              <w:rPr>
                <w:rFonts w:ascii="Calibri" w:hAnsi="Calibri"/>
                <w:b/>
                <w:color w:val="1F3864"/>
                <w:sz w:val="18"/>
              </w:rPr>
              <w:t xml:space="preserve">Abraham Retamal — </w:t>
            </w:r>
            <w:r>
              <w:rPr>
                <w:rFonts w:ascii="Calibri" w:hAnsi="Calibri"/>
                <w:color w:val="243247"/>
                <w:sz w:val="18"/>
              </w:rPr>
              <w:t>Datos, IA/RAG y calidad: modelo de datos, RAG, diagnósticos, señales, observabilidad, pruebas y documentación técnica.</w:t>
            </w:r>
            <w:r>
              <w:rPr>
                <w:rFonts w:ascii="Calibri" w:hAnsi="Calibri"/>
                <w:color w:val="243247"/>
                <w:sz w:val="18"/>
              </w:rPr>
            </w:r>
            <w:proofErr w:type="spellStart"/>
            <w:r>
              <w:rPr>
                <w:rFonts w:ascii="Calibri" w:hAnsi="Calibri"/>
                <w:color w:val="243247"/>
                <w:sz w:val="18"/>
              </w:rPr>
            </w:r>
            <w:proofErr w:type="spellEnd"/>
            <w:r>
              <w:rPr>
                <w:rFonts w:ascii="Calibri" w:hAnsi="Calibri"/>
                <w:color w:val="243247"/>
                <w:sz w:val="18"/>
              </w:rPr>
            </w:r>
          </w:p>
          <w:p w14:paraId="58B7E02D" w14:textId="77777777" w:rsidR="007A460C" w:rsidRDefault="00000000">
            <w:pPr>
              <w:spacing w:after="60" w:line="252" w:lineRule="auto"/>
              <w:jc w:val="both"/>
            </w:pPr>
            <w:r>
              <w:rPr>
                <w:rFonts w:ascii="Calibri" w:hAnsi="Calibri"/>
                <w:b/>
                <w:color w:val="1F3864"/>
                <w:sz w:val="19"/>
              </w:rPr>
              <w:t xml:space="preserve">Colaboración. </w:t>
            </w:r>
            <w:r>
              <w:rPr>
                <w:rFonts w:ascii="Calibri" w:hAnsi="Calibri"/>
                <w:b w:val="0"/>
                <w:color w:val="243247"/>
                <w:sz w:val="19"/>
              </w:rPr>
              <w:t>Cada historia tendrá una persona responsable y una revisora; todos aportarán código, pruebas y documentación. Las responsabilidades principales se mantendrán, mientras que las tareas de apoyo y revisión podrán rotar. Los bloqueos de integración tendrán prioridad sobre nuevas funciones.</w:t>
            </w:r>
          </w:p>
        </w:tc>
      </w:tr>
    </w:tbl>
    <w:p w14:paraId="64E27FB1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60498B61" w14:textId="77777777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237B981D" w14:textId="77777777" w:rsidTr="00416B89">
        <w:trPr>
          <w:trHeight w:val="440"/>
        </w:trPr>
        <w:tc>
          <w:tcPr>
            <w:tcW w:w="9640" w:type="dxa"/>
            <w:vAlign w:val="center"/>
          </w:tcPr>
          <w:p w14:paraId="0074FF87" w14:textId="777777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  <w:tr w:rsidR="00D110EC" w14:paraId="7FB8712D" w14:textId="77777777" w:rsidTr="00416B8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787619C" w14:textId="77777777" w:rsidR="00D110EC" w:rsidRPr="000533A4" w:rsidRDefault="00756A26" w:rsidP="000533A4">
            <w:pPr>
              <w:spacing w:after="0"/>
              <w:jc w:val="both"/>
              <w:rPr>
                <w:rFonts w:eastAsia="Times New Roman" w:cs="Times New Roman"/>
                <w:color w:val="595959" w:themeColor="text1" w:themeTint="A6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 continuación, d</w:t>
            </w:r>
            <w:r w:rsidR="00D110EC" w:rsidRPr="00874D16">
              <w:rPr>
                <w:rFonts w:ascii="Calibri" w:hAnsi="Calibri"/>
                <w:color w:val="1F3864" w:themeColor="accent1" w:themeShade="80"/>
              </w:rPr>
              <w:t xml:space="preserve">escribe qué evidencias serán evaluadas en el informe de avance y en el informe final de tu proyecto APT. Estas evidencias deben ser acordadas con tu docente. </w:t>
            </w:r>
            <w:r w:rsidR="000533A4">
              <w:t xml:space="preserve"> Se entenderá por evidencia los productos que se desarrollen durante el proyecto y cuyo propósito sea </w:t>
            </w:r>
            <w:r w:rsidR="00F801BD">
              <w:t xml:space="preserve">visibilizar o </w:t>
            </w:r>
            <w:r w:rsidR="000533A4">
              <w:t xml:space="preserve">documentar cómo se ha implementado el trabajo. </w:t>
            </w:r>
            <w:r w:rsidR="000533A4" w:rsidRPr="000E12F2"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</w:p>
        </w:tc>
      </w:tr>
    </w:tbl>
    <w:p w14:paraId="61DAC93A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2979E1F" w14:textId="77777777" w:rsidTr="009D04DC">
        <w:trPr>
          <w:trHeight w:val="362"/>
          <w:tblHeader/>
        </w:trPr>
        <w:tc>
          <w:tcPr>
            <w:tcW w:w="1843" w:type="dxa"/>
            <w:vAlign w:val="center"/>
          </w:tcPr>
          <w:p w14:paraId="216695E8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7791A4F8" w14:textId="77777777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2972A712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2E80237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04DCB851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76C1F9D0" w14:textId="77777777" w:rsidTr="009D04DC">
        <w:trPr>
          <w:cantSplit/>
          <w:trHeight w:val="362"/>
        </w:trPr>
        <w:tc>
          <w:tcPr>
            <w:tcW w:w="1843" w:type="dxa"/>
          </w:tcPr>
          <w:p w14:paraId="2D99C28F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Avance</w:t>
            </w:r>
          </w:p>
        </w:tc>
        <w:tc>
          <w:tcPr>
            <w:tcW w:w="1843" w:type="dxa"/>
          </w:tcPr>
          <w:p w14:paraId="7EC9C3BC" w14:textId="77777777" w:rsidR="007A460C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243247"/>
                <w:sz w:val="17"/>
              </w:rPr>
              <w:t>Product</w:t>
            </w:r>
            <w:proofErr w:type="spellEnd"/>
            <w:r>
              <w:rPr>
                <w:rFonts w:ascii="Calibri" w:hAnsi="Calibri"/>
                <w:b/>
                <w:color w:val="243247"/>
                <w:sz w:val="17"/>
              </w:rPr>
              <w:t xml:space="preserve"> Vision, backlog y diseño preliminar</w:t>
            </w:r>
          </w:p>
        </w:tc>
        <w:tc>
          <w:tcPr>
            <w:tcW w:w="3825" w:type="dxa"/>
          </w:tcPr>
          <w:p w14:paraId="1D66F0B2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Visión del producto, usuarios, propuesta de valor, alcance MoSCoW, historias priorizadas, riesgos, arquitectura y modelo de datos preliminares.</w:t>
            </w:r>
          </w:p>
        </w:tc>
        <w:tc>
          <w:tcPr>
            <w:tcW w:w="2551" w:type="dxa"/>
          </w:tcPr>
          <w:p w14:paraId="112C97A3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Demuestra comprensión del problema, coherencia del alcance y aplicación de gestión de proyecto, arquitectura y datos.</w:t>
            </w:r>
          </w:p>
        </w:tc>
      </w:tr>
      <w:tr w:rsidR="00D110EC" w:rsidRPr="00CA29F2" w14:paraId="3865BB69" w14:textId="77777777" w:rsidTr="009D04DC">
        <w:trPr>
          <w:cantSplit/>
          <w:trHeight w:val="362"/>
        </w:trPr>
        <w:tc>
          <w:tcPr>
            <w:tcW w:w="1843" w:type="dxa"/>
          </w:tcPr>
          <w:p w14:paraId="0A99AA36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Avance</w:t>
            </w:r>
          </w:p>
        </w:tc>
        <w:tc>
          <w:tcPr>
            <w:tcW w:w="1843" w:type="dxa"/>
          </w:tcPr>
          <w:p w14:paraId="442380A8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Incremento integrado de la ruta estudiante</w:t>
            </w:r>
          </w:p>
        </w:tc>
        <w:tc>
          <w:tcPr>
            <w:tcW w:w="3825" w:type="dxa"/>
          </w:tcPr>
          <w:p w14:paraId="210B78D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Repositorio público con autenticación, roles, clase, actividad, editor, intento, ejecución controlada, casos de prueba, telemetría mínima y resultados automatizados.</w:t>
            </w:r>
          </w:p>
        </w:tc>
        <w:tc>
          <w:tcPr>
            <w:tcW w:w="2551" w:type="dxa"/>
          </w:tcPr>
          <w:p w14:paraId="502862DE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Permite verificar progreso real hacia el objetivo general y aporta evidencia de desarrollo, pruebas e integración antes del cierre de S4 (semana 10).</w:t>
            </w:r>
          </w:p>
        </w:tc>
      </w:tr>
      <w:tr w:rsidR="00D110EC" w:rsidRPr="00CA29F2" w14:paraId="708DBE13" w14:textId="77777777" w:rsidTr="009D04DC">
        <w:trPr>
          <w:cantSplit/>
          <w:trHeight w:val="362"/>
        </w:trPr>
        <w:tc>
          <w:tcPr>
            <w:tcW w:w="1843" w:type="dxa"/>
          </w:tcPr>
          <w:p w14:paraId="31D3800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Final</w:t>
            </w:r>
          </w:p>
        </w:tc>
        <w:tc>
          <w:tcPr>
            <w:tcW w:w="1843" w:type="dxa"/>
          </w:tcPr>
          <w:p w14:paraId="19E3D1C2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 xml:space="preserve">MVP </w:t>
            </w:r>
            <w:proofErr w:type="spellStart"/>
            <w:r>
              <w:rPr>
                <w:rFonts w:ascii="Calibri" w:hAnsi="Calibri"/>
                <w:b/>
                <w:color w:val="243247"/>
                <w:sz w:val="17"/>
              </w:rPr>
              <w:t>Alunza</w:t>
            </w:r>
            <w:proofErr w:type="spellEnd"/>
            <w:r>
              <w:rPr>
                <w:rFonts w:ascii="Calibri" w:hAnsi="Calibri"/>
                <w:b/>
                <w:color w:val="243247"/>
                <w:sz w:val="17"/>
              </w:rPr>
              <w:t xml:space="preserve"> y demostración reproducible</w:t>
            </w:r>
          </w:p>
        </w:tc>
        <w:tc>
          <w:tcPr>
            <w:tcW w:w="3825" w:type="dxa"/>
          </w:tcPr>
          <w:p w14:paraId="53F2B5F3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Flujo completo profesor-estudiante con evaluación determinística, reintentos, feedback, RAG con fuentes, dashboard y tres señales, desplegable en Vercel-Supabase-Azure y reproducible localmente con Docker Compose.</w:t>
            </w:r>
            <w:proofErr w:type="spellStart"/>
            <w:r>
              <w:rPr>
                <w:rFonts w:ascii="Calibri" w:hAnsi="Calibri"/>
                <w:color w:val="243247"/>
                <w:sz w:val="17"/>
              </w:rPr>
            </w:r>
            <w:proofErr w:type="spellEnd"/>
            <w:r>
              <w:rPr>
                <w:rFonts w:ascii="Calibri" w:hAnsi="Calibri"/>
                <w:color w:val="243247"/>
                <w:sz w:val="17"/>
              </w:rPr>
            </w:r>
            <w:proofErr w:type="spellStart"/>
            <w:r>
              <w:rPr>
                <w:rFonts w:ascii="Calibri" w:hAnsi="Calibri"/>
                <w:color w:val="243247"/>
                <w:sz w:val="17"/>
              </w:rPr>
            </w:r>
            <w:proofErr w:type="spellEnd"/>
            <w:r>
              <w:rPr>
                <w:rFonts w:ascii="Calibri" w:hAnsi="Calibri"/>
                <w:color w:val="243247"/>
                <w:sz w:val="17"/>
              </w:rPr>
            </w:r>
          </w:p>
        </w:tc>
        <w:tc>
          <w:tcPr>
            <w:tcW w:w="2551" w:type="dxa"/>
          </w:tcPr>
          <w:p w14:paraId="213B0724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Comprueba el cumplimiento funcional de los objetivos y la integración de software, datos, IA, seguridad y experiencia de usuario.</w:t>
            </w:r>
          </w:p>
        </w:tc>
      </w:tr>
      <w:tr w:rsidR="00D110EC" w:rsidRPr="00CA29F2" w14:paraId="6A852C58" w14:textId="77777777" w:rsidTr="009D04DC">
        <w:trPr>
          <w:cantSplit/>
          <w:trHeight w:val="362"/>
        </w:trPr>
        <w:tc>
          <w:tcPr>
            <w:tcW w:w="1843" w:type="dxa"/>
          </w:tcPr>
          <w:p w14:paraId="08C1E27B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Final</w:t>
            </w:r>
          </w:p>
        </w:tc>
        <w:tc>
          <w:tcPr>
            <w:tcW w:w="1843" w:type="dxa"/>
          </w:tcPr>
          <w:p w14:paraId="111A3AA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7"/>
              </w:rPr>
              <w:t>Informe final y dossier de calidad</w:t>
            </w:r>
          </w:p>
        </w:tc>
        <w:tc>
          <w:tcPr>
            <w:tcW w:w="3825" w:type="dxa"/>
          </w:tcPr>
          <w:p w14:paraId="3649452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Documento de diseño, UML, modelo de datos, requisitos no funcionales, plan y resultados de pruebas, manual técnico, README, retrospectivas y trazabilidad de contribuciones.</w:t>
            </w:r>
          </w:p>
        </w:tc>
        <w:tc>
          <w:tcPr>
            <w:tcW w:w="2551" w:type="dxa"/>
          </w:tcPr>
          <w:p w14:paraId="33EEC841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7"/>
              </w:rPr>
              <w:t>Sustenta la calidad, mantenibilidad, seguridad, portabilidad y participación verificable de los tres integrantes.</w:t>
            </w:r>
          </w:p>
        </w:tc>
      </w:tr>
    </w:tbl>
    <w:p w14:paraId="120317CB" w14:textId="77777777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77F23528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1BB488D6" w14:textId="77777777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  <w:tr w:rsidR="00416B89" w14:paraId="4C4C3E41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21EE414F" w14:textId="77777777" w:rsidR="00416B89" w:rsidRPr="00874D16" w:rsidRDefault="00756A26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En la siguiente tabla d</w:t>
            </w:r>
            <w:r w:rsidR="00416B89" w:rsidRPr="00874D16">
              <w:rPr>
                <w:rFonts w:ascii="Calibri" w:hAnsi="Calibri"/>
                <w:color w:val="1F3864" w:themeColor="accent1" w:themeShade="80"/>
              </w:rPr>
              <w:t xml:space="preserve">efine la planificación de tu Proyecto APT </w:t>
            </w:r>
            <w:proofErr w:type="gramStart"/>
            <w:r w:rsidR="00416B89" w:rsidRPr="00874D16">
              <w:rPr>
                <w:rFonts w:ascii="Calibri" w:hAnsi="Calibri"/>
                <w:color w:val="1F3864" w:themeColor="accent1" w:themeShade="80"/>
              </w:rPr>
              <w:t>de acuerdo a</w:t>
            </w:r>
            <w:proofErr w:type="gramEnd"/>
            <w:r w:rsidR="00416B89" w:rsidRPr="00874D16">
              <w:rPr>
                <w:rFonts w:ascii="Calibri" w:hAnsi="Calibri"/>
                <w:color w:val="1F3864" w:themeColor="accent1" w:themeShade="80"/>
              </w:rPr>
              <w:t xml:space="preserve"> lo requerido</w:t>
            </w:r>
            <w:r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23FD1330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D110EC" w:rsidRPr="00A337B2" w14:paraId="302CA5EF" w14:textId="77777777" w:rsidTr="00C27FB0">
        <w:trPr>
          <w:tblHeader/>
          <w:jc w:val="center"/>
        </w:trPr>
        <w:tc>
          <w:tcPr>
            <w:tcW w:w="11061" w:type="dxa"/>
            <w:gridSpan w:val="7"/>
          </w:tcPr>
          <w:p w14:paraId="3ED5EE88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2A7DACA7" w14:textId="77777777" w:rsidTr="00C27FB0">
        <w:trPr>
          <w:tblHeader/>
          <w:jc w:val="center"/>
        </w:trPr>
        <w:tc>
          <w:tcPr>
            <w:tcW w:w="1580" w:type="dxa"/>
          </w:tcPr>
          <w:p w14:paraId="3BE68316" w14:textId="77777777" w:rsidR="00D110EC" w:rsidRPr="00364459" w:rsidRDefault="00756A26" w:rsidP="009B74E2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="00D110EC"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 w:rsidR="00D110EC"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580" w:type="dxa"/>
            <w:vAlign w:val="center"/>
          </w:tcPr>
          <w:p w14:paraId="153FC4DA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proofErr w:type="gramStart"/>
            <w:r>
              <w:rPr>
                <w:rFonts w:ascii="Calibri" w:hAnsi="Calibri"/>
                <w:color w:val="1F3864" w:themeColor="accent1" w:themeShade="80"/>
              </w:rPr>
              <w:t xml:space="preserve">de </w:t>
            </w:r>
            <w:r w:rsidRPr="00A337B2">
              <w:rPr>
                <w:rFonts w:ascii="Calibri" w:hAnsi="Calibri"/>
                <w:color w:val="1F3864" w:themeColor="accent1" w:themeShade="80"/>
              </w:rPr>
              <w:t xml:space="preserve"> Actividades</w:t>
            </w:r>
            <w:proofErr w:type="gramEnd"/>
            <w:r w:rsidRPr="00A337B2">
              <w:rPr>
                <w:rFonts w:ascii="Calibri" w:hAnsi="Calibri"/>
                <w:color w:val="1F3864" w:themeColor="accent1" w:themeShade="80"/>
              </w:rPr>
              <w:t>/Tareas</w:t>
            </w:r>
          </w:p>
        </w:tc>
        <w:tc>
          <w:tcPr>
            <w:tcW w:w="1580" w:type="dxa"/>
            <w:vAlign w:val="center"/>
          </w:tcPr>
          <w:p w14:paraId="4A6F9B36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580" w:type="dxa"/>
            <w:vAlign w:val="center"/>
          </w:tcPr>
          <w:p w14:paraId="36A2536A" w14:textId="77777777" w:rsidR="00D110EC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0C66D976" w14:textId="77777777" w:rsidR="00D110EC" w:rsidRPr="00925A9D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60B13013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8E2930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50CED993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67FCAB2A" w14:textId="77777777" w:rsidTr="00C27FB0">
        <w:trPr>
          <w:cantSplit/>
          <w:jc w:val="center"/>
        </w:trPr>
        <w:tc>
          <w:tcPr>
            <w:tcW w:w="1580" w:type="dxa"/>
          </w:tcPr>
          <w:p w14:paraId="32554AC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C2, C4, C5</w:t>
            </w:r>
          </w:p>
        </w:tc>
        <w:tc>
          <w:tcPr>
            <w:tcW w:w="1580" w:type="dxa"/>
          </w:tcPr>
          <w:p w14:paraId="0D21778D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Alineación y definición</w:t>
            </w:r>
          </w:p>
        </w:tc>
        <w:tc>
          <w:tcPr>
            <w:tcW w:w="1580" w:type="dxa"/>
          </w:tcPr>
          <w:p w14:paraId="57F420DB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Validar problema, usuarios, visión, alcance, riesgos, objetivos y responsabilidades.</w:t>
            </w:r>
          </w:p>
        </w:tc>
        <w:tc>
          <w:tcPr>
            <w:tcW w:w="1580" w:type="dxa"/>
          </w:tcPr>
          <w:p w14:paraId="4B9D5A15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Entrevistas previas, guía CAPSTONE, reuniones, GitHub y tablero.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E95C06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S0 · semanas 1–2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2022089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Equipo completo; liderazgo de Marcelo Núñez (Product Owner)</w:t>
            </w:r>
          </w:p>
        </w:tc>
        <w:tc>
          <w:tcPr>
            <w:tcW w:w="1581" w:type="dxa"/>
          </w:tcPr>
          <w:p w14:paraId="26A6CC69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Facilita: evidencia previa. Riesgo: alcance difuso; mitigación: MoSCoW.</w:t>
            </w:r>
          </w:p>
        </w:tc>
      </w:tr>
      <w:tr w:rsidR="00D110EC" w:rsidRPr="00A337B2" w14:paraId="498603B3" w14:textId="77777777" w:rsidTr="00C27FB0">
        <w:trPr>
          <w:cantSplit/>
          <w:jc w:val="center"/>
        </w:trPr>
        <w:tc>
          <w:tcPr>
            <w:tcW w:w="1580" w:type="dxa"/>
          </w:tcPr>
          <w:p w14:paraId="633F64FD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C2, C3, C4</w:t>
            </w:r>
          </w:p>
        </w:tc>
        <w:tc>
          <w:tcPr>
            <w:tcW w:w="1580" w:type="dxa"/>
          </w:tcPr>
          <w:p w14:paraId="12122BF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Diseño y planificación</w:t>
            </w:r>
          </w:p>
        </w:tc>
        <w:tc>
          <w:tcPr>
            <w:tcW w:w="1580" w:type="dxa"/>
          </w:tcPr>
          <w:p w14:paraId="5E2E0F81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Priorizar backlog, prototipar flujos y definir arquitectura, datos, seguridad y pruebas.</w:t>
            </w:r>
          </w:p>
        </w:tc>
        <w:tc>
          <w:tcPr>
            <w:tcW w:w="1580" w:type="dxa"/>
          </w:tcPr>
          <w:p w14:paraId="2815A11B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Herramientas UML, prototipado, backlog y documentación.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0D24918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S1 · semanas 3–4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E4B1813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Benjamin Pérez, Abraham Retamal y Marcelo Núñez</w:t>
            </w:r>
          </w:p>
        </w:tc>
        <w:tc>
          <w:tcPr>
            <w:tcW w:w="1581" w:type="dxa"/>
          </w:tcPr>
          <w:p w14:paraId="21E7827F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Hito: alcance aprobado al cierre de S1 y arquitectura híbrida definida en la revisión técnica del 04/09/2026.</w:t>
            </w:r>
          </w:p>
        </w:tc>
      </w:tr>
      <w:tr w:rsidR="00D110EC" w:rsidRPr="00A337B2" w14:paraId="7D547627" w14:textId="77777777" w:rsidTr="00C27FB0">
        <w:trPr>
          <w:cantSplit/>
          <w:jc w:val="center"/>
        </w:trPr>
        <w:tc>
          <w:tcPr>
            <w:tcW w:w="1580" w:type="dxa"/>
          </w:tcPr>
          <w:p w14:paraId="3548C165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lastRenderedPageBreak/>
              <w:t>C3, C4</w:t>
            </w:r>
          </w:p>
        </w:tc>
        <w:tc>
          <w:tcPr>
            <w:tcW w:w="1580" w:type="dxa"/>
          </w:tcPr>
          <w:p w14:paraId="4330119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Plataforma base</w:t>
            </w:r>
          </w:p>
        </w:tc>
        <w:tc>
          <w:tcPr>
            <w:tcW w:w="1580" w:type="dxa"/>
          </w:tcPr>
          <w:p w14:paraId="261F95C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Implementar Next.js/NestJS, GitHub Actions y preview Vercel, Supabase local/Auth/PostgreSQL/pgvector/RLS y Docker Compose inicial.</w:t>
            </w:r>
          </w:p>
        </w:tc>
        <w:tc>
          <w:tcPr>
            <w:tcW w:w="1580" w:type="dxa"/>
          </w:tcPr>
          <w:p w14:paraId="24C2283F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Next.js/Vercel, NestJS/Azure Container Apps, Supabase CLI/PostgreSQL/Auth/RLS, Docker Compose y GitHub Actions.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478EC5C3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S2 · semanas 5–6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B45B19D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Marcelo Núñez; apoyo de Benjamin Pérez y Abraham Retamal</w:t>
            </w:r>
          </w:p>
        </w:tc>
        <w:tc>
          <w:tcPr>
            <w:tcW w:w="1581" w:type="dxa"/>
          </w:tcPr>
          <w:p w14:paraId="4BBBC3D4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Riesgo: integración tardía; mitigación: PR breves y revisión cruzada.</w:t>
            </w:r>
          </w:p>
        </w:tc>
      </w:tr>
      <w:tr w:rsidR="00D110EC" w:rsidRPr="00A337B2" w14:paraId="5959C2A7" w14:textId="77777777" w:rsidTr="00C27FB0">
        <w:trPr>
          <w:cantSplit/>
          <w:jc w:val="center"/>
        </w:trPr>
        <w:tc>
          <w:tcPr>
            <w:tcW w:w="1580" w:type="dxa"/>
          </w:tcPr>
          <w:p w14:paraId="2C45A3B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C1, C3, C4</w:t>
            </w:r>
          </w:p>
        </w:tc>
        <w:tc>
          <w:tcPr>
            <w:tcW w:w="1580" w:type="dxa"/>
          </w:tcPr>
          <w:p w14:paraId="06A66C8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Actividad y ejecución</w:t>
            </w:r>
          </w:p>
        </w:tc>
        <w:tc>
          <w:tcPr>
            <w:tcW w:w="1580" w:type="dxa"/>
          </w:tcPr>
          <w:p w14:paraId="399EA16E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Construir ejercicios, editor, intentos, ejecutor controlado, casos de prueba y telemetría.</w:t>
            </w:r>
          </w:p>
        </w:tc>
        <w:tc>
          <w:tcPr>
            <w:tcW w:w="1580" w:type="dxa"/>
          </w:tcPr>
          <w:p w14:paraId="15A3D4C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Vercel Sandbox, adaptador Docker local, pruebas adversariales, correlación por intento y datos ficticios.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492590C8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S3–S4 · semanas 7–10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13029FD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Benjamin Pérez y Marcelo Núñez; apoyo de Abraham Retamal</w:t>
            </w:r>
          </w:p>
        </w:tc>
        <w:tc>
          <w:tcPr>
            <w:tcW w:w="1581" w:type="dxa"/>
          </w:tcPr>
          <w:p w14:paraId="6FC7A6E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Hito: ruta estudiante integrada e independiente de la IA al cierre de S4, semana 10.</w:t>
            </w:r>
          </w:p>
        </w:tc>
      </w:tr>
      <w:tr w:rsidR="00D110EC" w:rsidRPr="00A337B2" w14:paraId="3044CF9D" w14:textId="77777777" w:rsidTr="00C27FB0">
        <w:trPr>
          <w:cantSplit/>
          <w:jc w:val="center"/>
        </w:trPr>
        <w:tc>
          <w:tcPr>
            <w:tcW w:w="1580" w:type="dxa"/>
          </w:tcPr>
          <w:p w14:paraId="638D746E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C1, C3, C4</w:t>
            </w:r>
          </w:p>
        </w:tc>
        <w:tc>
          <w:tcPr>
            <w:tcW w:w="1580" w:type="dxa"/>
          </w:tcPr>
          <w:p w14:paraId="44B8922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 xml:space="preserve">Diagnóstico, </w:t>
            </w:r>
            <w:proofErr w:type="spellStart"/>
            <w:r>
              <w:rPr>
                <w:rFonts w:ascii="Calibri" w:hAnsi="Calibri"/>
                <w:b/>
                <w:color w:val="243247"/>
                <w:sz w:val="14"/>
              </w:rPr>
              <w:t>feedback</w:t>
            </w:r>
            <w:proofErr w:type="spellEnd"/>
            <w:r>
              <w:rPr>
                <w:rFonts w:ascii="Calibri" w:hAnsi="Calibri"/>
                <w:b/>
                <w:color w:val="243247"/>
                <w:sz w:val="14"/>
              </w:rPr>
              <w:t xml:space="preserve"> y RAG</w:t>
            </w:r>
          </w:p>
        </w:tc>
        <w:tc>
          <w:tcPr>
            <w:tcW w:w="1580" w:type="dxa"/>
          </w:tcPr>
          <w:p w14:paraId="77CBB51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Aplicar taxonomía, salida validada, pistas e ingesta y recuperación filtrada con fuentes.</w:t>
            </w:r>
          </w:p>
        </w:tc>
        <w:tc>
          <w:tcPr>
            <w:tcW w:w="1580" w:type="dxa"/>
          </w:tcPr>
          <w:p w14:paraId="5CEFF64C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Azure OpenAI configurable, embeddings, pgvector, top-k=5 fragmentos de 2 documentos por clase y dataset etiquetado.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7CC896A6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S5 · semanas 11–12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64864B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Abraham Retamal; apoyo de Benjamin Pérez y Marcelo Núñez</w:t>
            </w:r>
          </w:p>
        </w:tc>
        <w:tc>
          <w:tcPr>
            <w:tcW w:w="1581" w:type="dxa"/>
          </w:tcPr>
          <w:p w14:paraId="124D0851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 xml:space="preserve">Riesgos: alucinación o demora; mitigación: reglas, 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  <w:t>unknown</w:t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  <w:t xml:space="preserve">, 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  <w:t>timeout</w:t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  <w:t xml:space="preserve"> y degradación segura.</w:t>
            </w:r>
          </w:p>
        </w:tc>
      </w:tr>
      <w:tr w:rsidR="00D110EC" w:rsidRPr="00A337B2" w14:paraId="3DC2AAC5" w14:textId="77777777" w:rsidTr="00C27FB0">
        <w:trPr>
          <w:cantSplit/>
          <w:jc w:val="center"/>
        </w:trPr>
        <w:tc>
          <w:tcPr>
            <w:tcW w:w="1580" w:type="dxa"/>
          </w:tcPr>
          <w:p w14:paraId="5ADD78C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C1, C3, C4</w:t>
            </w:r>
          </w:p>
        </w:tc>
        <w:tc>
          <w:tcPr>
            <w:tcW w:w="1580" w:type="dxa"/>
          </w:tcPr>
          <w:p w14:paraId="7D6E38DC" w14:textId="77777777" w:rsidR="007A460C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243247"/>
                <w:sz w:val="14"/>
              </w:rPr>
              <w:t>Dashboard</w:t>
            </w:r>
            <w:proofErr w:type="spellEnd"/>
            <w:r>
              <w:rPr>
                <w:rFonts w:ascii="Calibri" w:hAnsi="Calibri"/>
                <w:b/>
                <w:color w:val="243247"/>
                <w:sz w:val="14"/>
              </w:rPr>
              <w:t xml:space="preserve"> y calidad</w:t>
            </w:r>
          </w:p>
        </w:tc>
        <w:tc>
          <w:tcPr>
            <w:tcW w:w="1580" w:type="dxa"/>
          </w:tcPr>
          <w:p w14:paraId="08884B55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Implementar vista docente, señales, pruebas de integración, rendimiento, seguridad y correcciones.</w:t>
            </w:r>
          </w:p>
        </w:tc>
        <w:tc>
          <w:tcPr>
            <w:tcW w:w="1580" w:type="dxa"/>
          </w:tcPr>
          <w:p w14:paraId="6FBEB5A5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 xml:space="preserve">Consultas, reglas, herramientas de pruebas, 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  <w:t>observabilidad</w:t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  <w:t xml:space="preserve"> y 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  <w:t>feedback</w:t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  <w:t xml:space="preserve"> de usuarios.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024B7CDF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S6 · semanas 13–14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2502294A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Equipo completo; liderazgo de Abraham Retamal</w:t>
            </w:r>
          </w:p>
        </w:tc>
        <w:tc>
          <w:tcPr>
            <w:tcW w:w="1581" w:type="dxa"/>
          </w:tcPr>
          <w:p w14:paraId="5EF6D12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Hito: tres señales explicables operativas con datos de demostración al cierre de S6, semana 14.</w:t>
            </w:r>
          </w:p>
        </w:tc>
      </w:tr>
      <w:tr w:rsidR="00D110EC" w:rsidRPr="00A337B2" w14:paraId="715852A4" w14:textId="77777777" w:rsidTr="00C27FB0">
        <w:trPr>
          <w:cantSplit/>
          <w:jc w:val="center"/>
        </w:trPr>
        <w:tc>
          <w:tcPr>
            <w:tcW w:w="1580" w:type="dxa"/>
          </w:tcPr>
          <w:p w14:paraId="701E2D1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C1–C5</w:t>
            </w:r>
          </w:p>
        </w:tc>
        <w:tc>
          <w:tcPr>
            <w:tcW w:w="1580" w:type="dxa"/>
          </w:tcPr>
          <w:p w14:paraId="50B4D047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243247"/>
                <w:sz w:val="14"/>
              </w:rPr>
              <w:t>Cierre, estabilización y defensa</w:t>
            </w:r>
          </w:p>
        </w:tc>
        <w:tc>
          <w:tcPr>
            <w:tcW w:w="1580" w:type="dxa"/>
          </w:tcPr>
          <w:p w14:paraId="43A716A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Congelar funciones, finalizar informes y manuales, desplegar, ensayar demo y presentar a comisión.</w:t>
            </w:r>
          </w:p>
        </w:tc>
        <w:tc>
          <w:tcPr>
            <w:tcW w:w="1580" w:type="dxa"/>
          </w:tcPr>
          <w:p w14:paraId="7C1BC200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Despliegue híbrido Vercel-Supabase-Azure, Docker Compose local, README, informe final y plan de contingencia.</w:t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4FEE7DF3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S7–S8 · semanas 15–18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B62A82D" w14:textId="77777777" w:rsidR="007A460C" w:rsidRDefault="00000000">
            <w:pPr>
              <w:spacing w:after="0" w:line="252" w:lineRule="auto"/>
            </w:pPr>
            <w:r>
              <w:rPr>
                <w:rFonts w:ascii="Calibri" w:hAnsi="Calibri"/>
                <w:color w:val="243247"/>
                <w:sz w:val="14"/>
              </w:rPr>
              <w:t>Equipo completo</w:t>
            </w:r>
          </w:p>
        </w:tc>
        <w:tc>
          <w:tcPr>
            <w:tcW w:w="1581" w:type="dxa"/>
          </w:tcPr>
          <w:p w14:paraId="62DA721B" w14:textId="77777777" w:rsidR="007A460C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243247"/>
                <w:sz w:val="14"/>
              </w:rPr>
              <w:t>Feature freeze al inicio de S7, semana 15; estabilización durante S7 y defensa durante S8.</w:t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  <w:proofErr w:type="spellStart"/>
            <w:r>
              <w:rPr>
                <w:rFonts w:ascii="Calibri" w:hAnsi="Calibri"/>
                <w:color w:val="243247"/>
                <w:sz w:val="14"/>
              </w:rPr>
            </w:r>
            <w:proofErr w:type="spellEnd"/>
            <w:r>
              <w:rPr>
                <w:rFonts w:ascii="Calibri" w:hAnsi="Calibri"/>
                <w:color w:val="243247"/>
                <w:sz w:val="14"/>
              </w:rPr>
            </w:r>
          </w:p>
        </w:tc>
      </w:tr>
    </w:tbl>
    <w:p w14:paraId="64675FCD" w14:textId="07352225" w:rsidR="00D110EC" w:rsidRDefault="00B22843" w:rsidP="00D110EC">
      <w:pPr>
        <w:spacing w:after="0" w:line="360" w:lineRule="auto"/>
        <w:jc w:val="both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66FE6D" wp14:editId="7B8325CD">
            <wp:simplePos x="0" y="0"/>
            <wp:positionH relativeFrom="column">
              <wp:posOffset>-762635</wp:posOffset>
            </wp:positionH>
            <wp:positionV relativeFrom="paragraph">
              <wp:posOffset>975995</wp:posOffset>
            </wp:positionV>
            <wp:extent cx="6968490" cy="3695700"/>
            <wp:effectExtent l="0" t="0" r="3810" b="0"/>
            <wp:wrapTopAndBottom/>
            <wp:docPr id="548794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48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7CE4C1B1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6CD32FFC" w14:textId="0A1A276F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proofErr w:type="spellStart"/>
            <w:r w:rsidR="0085136F">
              <w:rPr>
                <w:b/>
                <w:color w:val="1F3864" w:themeColor="accent1" w:themeShade="80"/>
                <w:sz w:val="28"/>
                <w:szCs w:val="28"/>
              </w:rPr>
              <w:t>Roadmap</w:t>
            </w:r>
            <w:proofErr w:type="spellEnd"/>
          </w:p>
        </w:tc>
      </w:tr>
      <w:tr w:rsidR="00416B89" w14:paraId="46086E2A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EE799E9" w14:textId="757FE0E9" w:rsidR="00416B89" w:rsidRPr="00874D16" w:rsidRDefault="00416B89" w:rsidP="00E65CC9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</w:tc>
      </w:tr>
    </w:tbl>
    <w:p w14:paraId="157A0F64" w14:textId="3DB127EC" w:rsidR="00A82D54" w:rsidRDefault="00A82D54"/>
    <w:sectPr w:rsidR="00A82D54">
      <w:headerReference w:type="default" r:id="rId11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3B5B" w14:textId="77777777" w:rsidR="004E1D4C" w:rsidRDefault="004E1D4C" w:rsidP="00D110EC">
      <w:pPr>
        <w:spacing w:after="0" w:line="240" w:lineRule="auto"/>
      </w:pPr>
      <w:r>
        <w:separator/>
      </w:r>
    </w:p>
  </w:endnote>
  <w:endnote w:type="continuationSeparator" w:id="0">
    <w:p w14:paraId="75237DC0" w14:textId="77777777" w:rsidR="004E1D4C" w:rsidRDefault="004E1D4C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7EFE" w14:textId="77777777" w:rsidR="004E1D4C" w:rsidRDefault="004E1D4C" w:rsidP="00D110EC">
      <w:pPr>
        <w:spacing w:after="0" w:line="240" w:lineRule="auto"/>
      </w:pPr>
      <w:r>
        <w:separator/>
      </w:r>
    </w:p>
  </w:footnote>
  <w:footnote w:type="continuationSeparator" w:id="0">
    <w:p w14:paraId="77305433" w14:textId="77777777" w:rsidR="004E1D4C" w:rsidRDefault="004E1D4C" w:rsidP="00D110EC">
      <w:pPr>
        <w:spacing w:after="0" w:line="240" w:lineRule="auto"/>
      </w:pPr>
      <w:r>
        <w:continuationSeparator/>
      </w:r>
    </w:p>
  </w:footnote>
  <w:footnote w:id="1">
    <w:p w14:paraId="6CFB9C40" w14:textId="77777777" w:rsidR="00D110EC" w:rsidRPr="002819E3" w:rsidRDefault="00D110EC" w:rsidP="00D110EC">
      <w:pPr>
        <w:pStyle w:val="Textonotapie"/>
        <w:rPr>
          <w:color w:val="595959" w:themeColor="text1" w:themeTint="A6"/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 w:rsidR="00565AE6"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 w:rsidR="00565AE6"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8C6F2C0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169B064" w14:textId="77777777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EA0CAE3" w14:textId="77777777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9944925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35B6F37" w14:textId="77777777" w:rsidR="005673ED" w:rsidRDefault="005673ED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513144">
    <w:abstractNumId w:val="2"/>
  </w:num>
  <w:num w:numId="2" w16cid:durableId="285164113">
    <w:abstractNumId w:val="3"/>
  </w:num>
  <w:num w:numId="3" w16cid:durableId="1439329086">
    <w:abstractNumId w:val="0"/>
  </w:num>
  <w:num w:numId="4" w16cid:durableId="122771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A006B"/>
    <w:rsid w:val="0017053A"/>
    <w:rsid w:val="001B6E9E"/>
    <w:rsid w:val="001E0609"/>
    <w:rsid w:val="001E291A"/>
    <w:rsid w:val="00393B9B"/>
    <w:rsid w:val="00416B89"/>
    <w:rsid w:val="004E1D4C"/>
    <w:rsid w:val="00565AE6"/>
    <w:rsid w:val="005673ED"/>
    <w:rsid w:val="00574894"/>
    <w:rsid w:val="00582596"/>
    <w:rsid w:val="005B4D4A"/>
    <w:rsid w:val="00625E4A"/>
    <w:rsid w:val="00675035"/>
    <w:rsid w:val="00707913"/>
    <w:rsid w:val="00730DAB"/>
    <w:rsid w:val="007335A0"/>
    <w:rsid w:val="00756A26"/>
    <w:rsid w:val="007A460C"/>
    <w:rsid w:val="007C0284"/>
    <w:rsid w:val="007E7568"/>
    <w:rsid w:val="008018E6"/>
    <w:rsid w:val="008069D0"/>
    <w:rsid w:val="00834A98"/>
    <w:rsid w:val="0085136F"/>
    <w:rsid w:val="008C6114"/>
    <w:rsid w:val="008D7780"/>
    <w:rsid w:val="008E0387"/>
    <w:rsid w:val="00936D73"/>
    <w:rsid w:val="00937347"/>
    <w:rsid w:val="009378F7"/>
    <w:rsid w:val="009516D5"/>
    <w:rsid w:val="00994FFC"/>
    <w:rsid w:val="009B74E2"/>
    <w:rsid w:val="009D04DC"/>
    <w:rsid w:val="00A06D2A"/>
    <w:rsid w:val="00A82D54"/>
    <w:rsid w:val="00A8774B"/>
    <w:rsid w:val="00AB3382"/>
    <w:rsid w:val="00AE4746"/>
    <w:rsid w:val="00B2167F"/>
    <w:rsid w:val="00B22843"/>
    <w:rsid w:val="00B2472E"/>
    <w:rsid w:val="00B846A3"/>
    <w:rsid w:val="00CA2536"/>
    <w:rsid w:val="00D110EC"/>
    <w:rsid w:val="00D12495"/>
    <w:rsid w:val="00D67975"/>
    <w:rsid w:val="00DA5CB1"/>
    <w:rsid w:val="00DC7A34"/>
    <w:rsid w:val="00E20DFE"/>
    <w:rsid w:val="00E65208"/>
    <w:rsid w:val="00EC3220"/>
    <w:rsid w:val="00F801BD"/>
    <w:rsid w:val="00FE7A1B"/>
    <w:rsid w:val="0651FA51"/>
    <w:rsid w:val="14C86939"/>
    <w:rsid w:val="257EB720"/>
    <w:rsid w:val="2FD38314"/>
    <w:rsid w:val="5B793016"/>
    <w:rsid w:val="5C332EEA"/>
    <w:rsid w:val="685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A065"/>
  <w15:chartTrackingRefBased/>
  <w15:docId w15:val="{31A4C1E4-BC35-D64C-9D82-976C35EFF0A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>
  <Template>Normal.dotm</Template>
  <TotalTime>3</TotalTime>
  <Pages>7</Pages>
  <Words>2273</Words>
  <Characters>12502</Characters>
  <Application>Microsoft Office Word</Application>
  <DocSecurity>0</DocSecurity>
  <Lines>104</Lines>
  <Paragraphs>29</Paragraphs>
  <ScaleCrop>false</ScaleCrop>
  <Company>Duoc UC</Company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Alunza — Guía Estudiante Fase 1: Definición Proyecto APT</dc:title>
  <dc:subject>Proyecto de Título CAPSTONE 2026-2 — Alunza</dc:subject>
  <dc:creator>Equipo Alunza</dc:creator>
  <cp:keywords>Alunza, CAPSTONE, APT, Programación I, tutor inteligente</cp:keywords>
  <dc:description>Evidencia grupal consolidada del proyecto Alunza para CAPSTONE 2026-2.</dc:description>
  <cp:lastModifiedBy>Equipo Alunza</cp:lastModifiedBy>
  <cp:revision>8</cp:revision>
  <dcterms:created xsi:type="dcterms:W3CDTF">2022-08-24T18:07:00Z</dcterms:created>
  <dcterms:modified xsi:type="dcterms:W3CDTF">2026-09-02T12:00:00Z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