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widowControl/>
        <w:spacing w:before="0" w:after="60" w:line="240" w:lineRule="auto"/>
      </w:pPr>
      <w:r>
        <w:rPr>
          <w:rFonts w:ascii="Calibri" w:hAnsi="Calibri" w:eastAsia="Calibri"/>
          <w:b/>
          <w:color w:val="0D7C78"/>
          <w:sz w:val="17"/>
          <w:lang w:val="es-CL"/>
        </w:rPr>
        <w:t>REGISTRO DE REUNIÓN</w:t>
      </w:r>
    </w:p>
    <w:p>
      <w:pPr>
        <w:pStyle w:val="AlunzaTitle"/>
      </w:pPr>
      <w:r>
        <w:t>Minuta de reunión</w:t>
      </w:r>
    </w:p>
    <w:p>
      <w:pPr>
        <w:pStyle w:val="AlunzaSubtitle"/>
      </w:pPr>
      <w:r>
        <w:t>Consolidación de la definición de producto</w:t>
      </w:r>
    </w:p>
    <w:p>
      <w:pPr>
        <w:keepNext/>
        <w:widowControl/>
        <w:spacing w:before="0" w:after="140" w:line="240" w:lineRule="auto"/>
        <w:pBdr>
          <w:bottom w:val="single" w:sz="16" w:space="4" w:color="F2B600"/>
        </w:pBdr>
      </w:pPr>
      <w:r>
        <w:rPr>
          <w:rFonts w:ascii="Calibri" w:hAnsi="Calibri" w:eastAsia="Calibri"/>
          <w:b/>
          <w:color w:val="555B63"/>
          <w:sz w:val="18"/>
          <w:lang w:val="es-CL"/>
        </w:rPr>
        <w:t>ALZ-MIN-003   ·   SEMANA 2   ·   SESIÓN A</w:t>
      </w:r>
    </w:p>
    <w:tbl>
      <w:tblPr>
        <w:tblW w:type="dxa" w:w="9576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D9DEE5"/>
          <w:left w:val="single" w:sz="5" w:space="0" w:color="D9DEE5"/>
          <w:bottom w:val="single" w:sz="5" w:space="0" w:color="D9DEE5"/>
          <w:right w:val="single" w:sz="5" w:space="0" w:color="D9DEE5"/>
          <w:insideH w:val="single" w:sz="4" w:space="0" w:color="D9DEE5"/>
          <w:insideV w:val="single" w:sz="4" w:space="0" w:color="D9DEE5"/>
        </w:tblBorders>
      </w:tblPr>
      <w:tblGrid>
        <w:gridCol w:w="4988"/>
        <w:gridCol w:w="4988"/>
      </w:tblGrid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Proyecto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Alunza — Tutor Universitario Inteligente para Programación I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Código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BFCFD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ALZ-MIN-003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Semana / sesión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Semana 2 · Sesión A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Fecha y hora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BFCFD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18 de agosto de 2026 · 18:30 a 19:15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Modalidad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Duoc UC, sede Puente Alto · reunión interna presencial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Tipo de reunión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BFCFD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Revisión de línea base funcional</w:t>
            </w:r>
          </w:p>
        </w:tc>
      </w:tr>
    </w:tbl>
    <w:p>
      <w:pPr>
        <w:pStyle w:val="AlunzaSection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1. </w:t>
      </w:r>
      <w:r>
        <w:rPr>
          <w:rFonts w:ascii="Calibri" w:hAnsi="Calibri" w:eastAsia="Calibri"/>
          <w:b/>
          <w:color w:val="10243A"/>
          <w:sz w:val="24"/>
          <w:lang w:val="es-CL"/>
        </w:rPr>
        <w:t>Objetivo de la reunión</w:t>
      </w:r>
    </w:p>
    <w:p>
      <w:pPr>
        <w:keepLines w:val="0"/>
        <w:widowControl/>
        <w:spacing w:before="0" w:after="80" w:line="259" w:lineRule="auto"/>
        <w:jc w:val="left"/>
      </w:pPr>
      <w:r>
        <w:rPr>
          <w:rFonts w:ascii="Calibri" w:hAnsi="Calibri" w:eastAsia="Calibri"/>
          <w:i w:val="0"/>
          <w:color w:val="222222"/>
          <w:sz w:val="20"/>
          <w:lang w:val="es-CL"/>
        </w:rPr>
        <w:t>Revisar la definición amplia del Tutor Universitario Inteligente y acordar los principios que guiarán la evaluación, la analítica y el uso de inteligencia artificial.</w:t>
      </w:r>
    </w:p>
    <w:p>
      <w:pPr>
        <w:pStyle w:val="AlunzaSection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2. </w:t>
      </w:r>
      <w:r>
        <w:rPr>
          <w:rFonts w:ascii="Calibri" w:hAnsi="Calibri" w:eastAsia="Calibri"/>
          <w:b/>
          <w:color w:val="10243A"/>
          <w:sz w:val="24"/>
          <w:lang w:val="es-CL"/>
        </w:rPr>
        <w:t>Participantes</w:t>
      </w:r>
    </w:p>
    <w:tbl>
      <w:tblPr>
        <w:tblW w:type="dxa" w:w="9576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D9DEE5"/>
          <w:left w:val="single" w:sz="5" w:space="0" w:color="D9DEE5"/>
          <w:bottom w:val="single" w:sz="5" w:space="0" w:color="D9DEE5"/>
          <w:right w:val="single" w:sz="5" w:space="0" w:color="D9DEE5"/>
          <w:insideH w:val="single" w:sz="4" w:space="0" w:color="D9DEE5"/>
          <w:insideV w:val="single" w:sz="4" w:space="0" w:color="D9DEE5"/>
        </w:tblBorders>
      </w:tblPr>
      <w:tblGrid>
        <w:gridCol w:w="3325"/>
        <w:gridCol w:w="3325"/>
        <w:gridCol w:w="3325"/>
      </w:tblGrid>
      <w:tr>
        <w:trPr>
          <w:cantSplit/>
          <w:tblHeader/>
        </w:trPr>
        <w:tc>
          <w:tcPr>
            <w:tcW w:type="dxa" w:w="295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Participante</w:t>
            </w:r>
          </w:p>
        </w:tc>
        <w:tc>
          <w:tcPr>
            <w:tcW w:type="dxa" w:w="532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Foco principal en la sesión</w:t>
            </w:r>
          </w:p>
        </w:tc>
        <w:tc>
          <w:tcPr>
            <w:tcW w:type="dxa" w:w="1296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Asistencia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222222"/>
                <w:sz w:val="18"/>
                <w:lang w:val="es-CL"/>
              </w:rPr>
              <w:t>Benjamin Pérez</w:t>
            </w:r>
          </w:p>
        </w:tc>
        <w:tc>
          <w:tcPr>
            <w:tcW w:type="dxa" w:w="532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UX/UI, frontend y documentación</w:t>
            </w:r>
          </w:p>
        </w:tc>
        <w:tc>
          <w:tcPr>
            <w:tcW w:type="dxa" w:w="1296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0D7C78"/>
                <w:sz w:val="18"/>
                <w:lang w:val="es-CL"/>
              </w:rPr>
              <w:t>Presente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222222"/>
                <w:sz w:val="18"/>
                <w:lang w:val="es-CL"/>
              </w:rPr>
              <w:t>Abraham Retamal</w:t>
            </w:r>
          </w:p>
        </w:tc>
        <w:tc>
          <w:tcPr>
            <w:tcW w:type="dxa" w:w="532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Datos, IA/RAG y calidad</w:t>
            </w:r>
          </w:p>
        </w:tc>
        <w:tc>
          <w:tcPr>
            <w:tcW w:type="dxa" w:w="1296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0D7C78"/>
                <w:sz w:val="18"/>
                <w:lang w:val="es-CL"/>
              </w:rPr>
              <w:t>Presente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222222"/>
                <w:sz w:val="18"/>
                <w:lang w:val="es-CL"/>
              </w:rPr>
              <w:t>Marcelo Núñez</w:t>
            </w:r>
          </w:p>
        </w:tc>
        <w:tc>
          <w:tcPr>
            <w:tcW w:type="dxa" w:w="532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Product Owner, backend e integración</w:t>
            </w:r>
          </w:p>
        </w:tc>
        <w:tc>
          <w:tcPr>
            <w:tcW w:type="dxa" w:w="1296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0D7C78"/>
                <w:sz w:val="18"/>
                <w:lang w:val="es-CL"/>
              </w:rPr>
              <w:t>Presente</w:t>
            </w:r>
          </w:p>
        </w:tc>
      </w:tr>
    </w:tbl>
    <w:p>
      <w:pPr>
        <w:pStyle w:val="AlunzaSection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3. </w:t>
      </w:r>
      <w:r>
        <w:rPr>
          <w:rFonts w:ascii="Calibri" w:hAnsi="Calibri" w:eastAsia="Calibri"/>
          <w:b/>
          <w:color w:val="10243A"/>
          <w:sz w:val="24"/>
          <w:lang w:val="es-CL"/>
        </w:rPr>
        <w:t>Temas tratados</w:t>
      </w:r>
    </w:p>
    <w:p>
      <w:pPr>
        <w:widowControl/>
        <w:spacing w:before="0" w:after="36" w:line="245" w:lineRule="auto"/>
        <w:ind w:left="312" w:hanging="170"/>
      </w:pPr>
      <w:r>
        <w:rPr>
          <w:rFonts w:ascii="Calibri" w:hAnsi="Calibri" w:eastAsia="Calibri"/>
          <w:b/>
          <w:color w:val="0D7C78"/>
          <w:sz w:val="20"/>
          <w:lang w:val="es-CL"/>
        </w:rPr>
        <w:t>•</w:t>
      </w:r>
      <w:r>
        <w:rPr>
          <w:rFonts w:ascii="Calibri" w:hAnsi="Calibri" w:eastAsia="Calibri"/>
          <w:color w:val="222222"/>
          <w:sz w:val="20"/>
          <w:lang w:val="es-CL"/>
        </w:rPr>
        <w:t xml:space="preserve">  Objetivo general y objetivos específicos del producto.</w:t>
      </w:r>
    </w:p>
    <w:p>
      <w:pPr>
        <w:widowControl/>
        <w:spacing w:before="0" w:after="36" w:line="245" w:lineRule="auto"/>
        <w:ind w:left="312" w:hanging="170"/>
      </w:pPr>
      <w:r>
        <w:rPr>
          <w:rFonts w:ascii="Calibri" w:hAnsi="Calibri" w:eastAsia="Calibri"/>
          <w:b/>
          <w:color w:val="0D7C78"/>
          <w:sz w:val="20"/>
          <w:lang w:val="es-CL"/>
        </w:rPr>
        <w:t>•</w:t>
      </w:r>
      <w:r>
        <w:rPr>
          <w:rFonts w:ascii="Calibri" w:hAnsi="Calibri" w:eastAsia="Calibri"/>
          <w:color w:val="222222"/>
          <w:sz w:val="20"/>
          <w:lang w:val="es-CL"/>
        </w:rPr>
        <w:t xml:space="preserve">  Organización académica: institución, curso, clase, profesor y estudiante.</w:t>
      </w:r>
    </w:p>
    <w:p>
      <w:pPr>
        <w:widowControl/>
        <w:spacing w:before="0" w:after="36" w:line="245" w:lineRule="auto"/>
        <w:ind w:left="312" w:hanging="170"/>
      </w:pPr>
      <w:r>
        <w:rPr>
          <w:rFonts w:ascii="Calibri" w:hAnsi="Calibri" w:eastAsia="Calibri"/>
          <w:b/>
          <w:color w:val="0D7C78"/>
          <w:sz w:val="20"/>
          <w:lang w:val="es-CL"/>
        </w:rPr>
        <w:t>•</w:t>
      </w:r>
      <w:r>
        <w:rPr>
          <w:rFonts w:ascii="Calibri" w:hAnsi="Calibri" w:eastAsia="Calibri"/>
          <w:color w:val="222222"/>
          <w:sz w:val="20"/>
          <w:lang w:val="es-CL"/>
        </w:rPr>
        <w:t xml:space="preserve">  Evaluación determinística primero y uso acotado del modelo de lenguaje.</w:t>
      </w:r>
    </w:p>
    <w:p>
      <w:pPr>
        <w:widowControl/>
        <w:spacing w:before="0" w:after="36" w:line="245" w:lineRule="auto"/>
        <w:ind w:left="312" w:hanging="170"/>
      </w:pPr>
      <w:r>
        <w:rPr>
          <w:rFonts w:ascii="Calibri" w:hAnsi="Calibri" w:eastAsia="Calibri"/>
          <w:b/>
          <w:color w:val="0D7C78"/>
          <w:sz w:val="20"/>
          <w:lang w:val="es-CL"/>
        </w:rPr>
        <w:t>•</w:t>
      </w:r>
      <w:r>
        <w:rPr>
          <w:rFonts w:ascii="Calibri" w:hAnsi="Calibri" w:eastAsia="Calibri"/>
          <w:color w:val="222222"/>
          <w:sz w:val="20"/>
          <w:lang w:val="es-CL"/>
        </w:rPr>
        <w:t xml:space="preserve">  Trazabilidad mediante intentos, eventos y resultados de test cases.</w:t>
      </w:r>
    </w:p>
    <w:p>
      <w:pPr>
        <w:pStyle w:val="AlunzaSection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4. </w:t>
      </w:r>
      <w:r>
        <w:rPr>
          <w:rFonts w:ascii="Calibri" w:hAnsi="Calibri" w:eastAsia="Calibri"/>
          <w:b/>
          <w:color w:val="10243A"/>
          <w:sz w:val="24"/>
          <w:lang w:val="es-CL"/>
        </w:rPr>
        <w:t>Síntesis de la sesión</w:t>
      </w:r>
    </w:p>
    <w:p>
      <w:pPr>
        <w:keepLines w:val="0"/>
        <w:widowControl/>
        <w:spacing w:before="0" w:after="0" w:line="259" w:lineRule="auto"/>
        <w:jc w:val="left"/>
      </w:pPr>
      <w:r>
        <w:rPr>
          <w:rFonts w:ascii="Calibri" w:hAnsi="Calibri" w:eastAsia="Calibri"/>
          <w:i w:val="0"/>
          <w:color w:val="222222"/>
          <w:sz w:val="20"/>
          <w:lang w:val="es-CL"/>
        </w:rPr>
        <w:t>El equipo revisó la definición funcional inicial y confirmó que la lógica crítica debe permanecer en el sistema. Autenticación, permisos, cálculos, test cases, métricas y acceso a datos no dependerán del modelo de lenguaje. La IA podrá apoyar la clasificación de errores, la redacción de pistas y la interpretación de resultados, siempre mediante salidas estructuradas y validadas por el backend. También se acordó que las señales y métricas deben mostrar la evidencia que las originó y que la plataforma debe describir comportamientos recientes, evitando etiquetar de forma permanente a una persona. Estos principios se incorporarán en requisitos, casos de uso y criterios de aceptación.</w:t>
      </w:r>
    </w:p>
    <w:p>
      <w:r>
        <w:br w:type="page"/>
      </w:r>
    </w:p>
    <w:p>
      <w:pPr>
        <w:pStyle w:val="AlunzaSection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5. </w:t>
      </w:r>
      <w:r>
        <w:rPr>
          <w:rFonts w:ascii="Calibri" w:hAnsi="Calibri" w:eastAsia="Calibri"/>
          <w:b/>
          <w:color w:val="10243A"/>
          <w:sz w:val="24"/>
          <w:lang w:val="es-CL"/>
        </w:rPr>
        <w:t>Acuerdos adoptados</w:t>
      </w:r>
    </w:p>
    <w:tbl>
      <w:tblPr>
        <w:tblW w:type="dxa" w:w="9576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D9DEE5"/>
          <w:left w:val="single" w:sz="5" w:space="0" w:color="D9DEE5"/>
          <w:bottom w:val="single" w:sz="5" w:space="0" w:color="D9DEE5"/>
          <w:right w:val="single" w:sz="5" w:space="0" w:color="D9DEE5"/>
          <w:insideH w:val="single" w:sz="4" w:space="0" w:color="D9DEE5"/>
          <w:insideV w:val="single" w:sz="4" w:space="0" w:color="D9DEE5"/>
        </w:tblBorders>
      </w:tblPr>
      <w:tblGrid>
        <w:gridCol w:w="4988"/>
        <w:gridCol w:w="4988"/>
      </w:tblGrid>
      <w:tr>
        <w:trPr>
          <w:cantSplit/>
          <w:tblHeader/>
        </w:trPr>
        <w:tc>
          <w:tcPr>
            <w:tcW w:type="dxa" w:w="22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Tema</w:t>
            </w:r>
          </w:p>
        </w:tc>
        <w:tc>
          <w:tcPr>
            <w:tcW w:type="dxa" w:w="73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Acuerdo adoptado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Fuente de verdad</w:t>
            </w:r>
          </w:p>
        </w:tc>
        <w:tc>
          <w:tcPr>
            <w:tcW w:type="dxa" w:w="73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La evaluación técnica y las métricas serán calculadas por componentes determinísticos; el LLM no inventará resultados.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Gobernanza</w:t>
            </w:r>
          </w:p>
        </w:tc>
        <w:tc>
          <w:tcPr>
            <w:tcW w:type="dxa" w:w="73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Aplicar autorización en backend y separar los datos por organización, curso y clase desde el diseño.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Explicabilidad</w:t>
            </w:r>
          </w:p>
        </w:tc>
        <w:tc>
          <w:tcPr>
            <w:tcW w:type="dxa" w:w="73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Toda señal docente deberá incluir su regla, periodo y evidencia; cuando falten datos se mostrará un estado de desconocimiento.</w:t>
            </w:r>
          </w:p>
        </w:tc>
      </w:tr>
    </w:tbl>
    <w:p>
      <w:pPr>
        <w:pStyle w:val="AlunzaSection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6. </w:t>
      </w:r>
      <w:r>
        <w:rPr>
          <w:rFonts w:ascii="Calibri" w:hAnsi="Calibri" w:eastAsia="Calibri"/>
          <w:b/>
          <w:color w:val="10243A"/>
          <w:sz w:val="24"/>
          <w:lang w:val="es-CL"/>
        </w:rPr>
        <w:t>Compromisos y responsables</w:t>
      </w:r>
    </w:p>
    <w:tbl>
      <w:tblPr>
        <w:tblW w:type="dxa" w:w="9576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D9DEE5"/>
          <w:left w:val="single" w:sz="5" w:space="0" w:color="D9DEE5"/>
          <w:bottom w:val="single" w:sz="5" w:space="0" w:color="D9DEE5"/>
          <w:right w:val="single" w:sz="5" w:space="0" w:color="D9DEE5"/>
          <w:insideH w:val="single" w:sz="4" w:space="0" w:color="D9DEE5"/>
          <w:insideV w:val="single" w:sz="4" w:space="0" w:color="D9DEE5"/>
        </w:tblBorders>
      </w:tblPr>
      <w:tblGrid>
        <w:gridCol w:w="3325"/>
        <w:gridCol w:w="3325"/>
        <w:gridCol w:w="3325"/>
      </w:tblGrid>
      <w:tr>
        <w:trPr>
          <w:cantSplit/>
          <w:tblHeader/>
        </w:trPr>
        <w:tc>
          <w:tcPr>
            <w:tcW w:type="dxa" w:w="6120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Actividad comprometida</w:t>
            </w:r>
          </w:p>
        </w:tc>
        <w:tc>
          <w:tcPr>
            <w:tcW w:type="dxa" w:w="208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Responsable</w:t>
            </w:r>
          </w:p>
        </w:tc>
        <w:tc>
          <w:tcPr>
            <w:tcW w:type="dxa" w:w="136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Fecha</w:t>
            </w:r>
          </w:p>
        </w:tc>
      </w:tr>
      <w:tr>
        <w:trPr>
          <w:cantSplit/>
        </w:trPr>
        <w:tc>
          <w:tcPr>
            <w:tcW w:type="dxa" w:w="6120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Refinar visión, objetivos y beneficios para cada usuario.</w:t>
            </w:r>
          </w:p>
        </w:tc>
        <w:tc>
          <w:tcPr>
            <w:tcW w:type="dxa" w:w="208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Marcelo Núñez</w:t>
            </w:r>
          </w:p>
        </w:tc>
        <w:tc>
          <w:tcPr>
            <w:tcW w:type="dxa" w:w="136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20-08-2026</w:t>
            </w:r>
          </w:p>
        </w:tc>
      </w:tr>
      <w:tr>
        <w:trPr>
          <w:cantSplit/>
        </w:trPr>
        <w:tc>
          <w:tcPr>
            <w:tcW w:type="dxa" w:w="6120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Redactar requisitos iniciales de acceso, clases y actividades.</w:t>
            </w:r>
          </w:p>
        </w:tc>
        <w:tc>
          <w:tcPr>
            <w:tcW w:type="dxa" w:w="208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Benjamin Pérez</w:t>
            </w:r>
          </w:p>
        </w:tc>
        <w:tc>
          <w:tcPr>
            <w:tcW w:type="dxa" w:w="136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20-08-2026</w:t>
            </w:r>
          </w:p>
        </w:tc>
      </w:tr>
      <w:tr>
        <w:trPr>
          <w:cantSplit/>
        </w:trPr>
        <w:tc>
          <w:tcPr>
            <w:tcW w:type="dxa" w:w="6120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Proponer esquema de diagnóstico, eventos y métricas técnicas.</w:t>
            </w:r>
          </w:p>
        </w:tc>
        <w:tc>
          <w:tcPr>
            <w:tcW w:type="dxa" w:w="208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Abraham Retamal</w:t>
            </w:r>
          </w:p>
        </w:tc>
        <w:tc>
          <w:tcPr>
            <w:tcW w:type="dxa" w:w="136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20-08-2026</w:t>
            </w:r>
          </w:p>
        </w:tc>
      </w:tr>
    </w:tbl>
    <w:p>
      <w:pPr>
        <w:pStyle w:val="AlunzaSection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7. </w:t>
      </w:r>
      <w:r>
        <w:rPr>
          <w:rFonts w:ascii="Calibri" w:hAnsi="Calibri" w:eastAsia="Calibri"/>
          <w:b/>
          <w:color w:val="10243A"/>
          <w:sz w:val="24"/>
          <w:lang w:val="es-CL"/>
        </w:rPr>
        <w:t>Riesgos y bloqueos</w:t>
      </w:r>
    </w:p>
    <w:p>
      <w:pPr>
        <w:widowControl/>
        <w:spacing w:before="0" w:after="36" w:line="245" w:lineRule="auto"/>
        <w:ind w:left="312" w:hanging="170"/>
      </w:pPr>
      <w:r>
        <w:rPr>
          <w:rFonts w:ascii="Calibri" w:hAnsi="Calibri" w:eastAsia="Calibri"/>
          <w:b/>
          <w:color w:val="0D7C78"/>
          <w:sz w:val="20"/>
          <w:lang w:val="es-CL"/>
        </w:rPr>
        <w:t>•</w:t>
      </w:r>
      <w:r>
        <w:rPr>
          <w:rFonts w:ascii="Calibri" w:hAnsi="Calibri" w:eastAsia="Calibri"/>
          <w:color w:val="222222"/>
          <w:sz w:val="20"/>
          <w:lang w:val="es-CL"/>
        </w:rPr>
        <w:t xml:space="preserve">  La definición todavía incluye demasiadas familias de ejercicios, métricas y capacidades avanzadas.</w:t>
      </w:r>
    </w:p>
    <w:p>
      <w:pPr>
        <w:widowControl/>
        <w:spacing w:before="0" w:after="36" w:line="245" w:lineRule="auto"/>
        <w:ind w:left="312" w:hanging="170"/>
      </w:pPr>
      <w:r>
        <w:rPr>
          <w:rFonts w:ascii="Calibri" w:hAnsi="Calibri" w:eastAsia="Calibri"/>
          <w:b/>
          <w:color w:val="0D7C78"/>
          <w:sz w:val="20"/>
          <w:lang w:val="es-CL"/>
        </w:rPr>
        <w:t>•</w:t>
      </w:r>
      <w:r>
        <w:rPr>
          <w:rFonts w:ascii="Calibri" w:hAnsi="Calibri" w:eastAsia="Calibri"/>
          <w:color w:val="222222"/>
          <w:sz w:val="20"/>
          <w:lang w:val="es-CL"/>
        </w:rPr>
        <w:t xml:space="preserve">  Una cifra de dominio puede generar falsa precisión si no se acompaña de evidencia y limitaciones.</w:t>
      </w:r>
    </w:p>
    <w:p>
      <w:pPr>
        <w:pStyle w:val="AlunzaSection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8. </w:t>
      </w:r>
      <w:r>
        <w:rPr>
          <w:rFonts w:ascii="Calibri" w:hAnsi="Calibri" w:eastAsia="Calibri"/>
          <w:b/>
          <w:color w:val="10243A"/>
          <w:sz w:val="24"/>
          <w:lang w:val="es-CL"/>
        </w:rPr>
        <w:t>Próxima sesión</w:t>
      </w:r>
    </w:p>
    <w:tbl>
      <w:tblPr>
        <w:tblW w:type="dxa" w:w="9576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D9DEE5"/>
          <w:left w:val="single" w:sz="5" w:space="0" w:color="D9DEE5"/>
          <w:bottom w:val="single" w:sz="5" w:space="0" w:color="D9DEE5"/>
          <w:right w:val="single" w:sz="5" w:space="0" w:color="D9DEE5"/>
          <w:insideH w:val="single" w:sz="4" w:space="0" w:color="D9DEE5"/>
          <w:insideV w:val="single" w:sz="4" w:space="0" w:color="D9DEE5"/>
        </w:tblBorders>
      </w:tblPr>
      <w:tblGrid>
        <w:gridCol w:w="4988"/>
        <w:gridCol w:w="4988"/>
      </w:tblGrid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E7F4F3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Próxima fecha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222222"/>
                <w:sz w:val="18"/>
                <w:lang w:val="es-CL"/>
              </w:rPr>
              <w:t>20 de agosto de 2026 · 18:30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E7F4F3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Objetivo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Reducir el alcance al flujo mínimo demostrable y fijar criterios claros de éxito y exclusión.</w:t>
            </w:r>
          </w:p>
        </w:tc>
      </w:tr>
    </w:tbl>
    <w:p>
      <w:pPr>
        <w:widowControl/>
        <w:spacing w:before="120" w:after="80" w:line="240" w:lineRule="auto"/>
      </w:pPr>
    </w:p>
    <w:tbl>
      <w:tblPr>
        <w:tblW w:type="dxa" w:w="9576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space="0" w:color="E4C44E"/>
          <w:left w:val="single" w:sz="6" w:space="0" w:color="E4C44E"/>
          <w:bottom w:val="single" w:sz="6" w:space="0" w:color="E4C44E"/>
          <w:right w:val="single" w:sz="6" w:space="0" w:color="E4C44E"/>
          <w:insideH w:val="single" w:sz="0" w:space="0" w:color="E4C44E"/>
          <w:insideV w:val="single" w:sz="0" w:space="0" w:color="E4C44E"/>
        </w:tblBorders>
      </w:tblPr>
      <w:tblGrid>
        <w:gridCol w:w="9976"/>
      </w:tblGrid>
      <w:tr>
        <w:trPr>
          <w:cantSplit/>
        </w:trPr>
        <w:tc>
          <w:tcPr>
            <w:tcW w:type="dxa" w:w="9576"/>
            <w:shd w:fill="FFF5CC" w:val="clear"/>
            <w:tcMar>
              <w:top w:w="105" w:type="dxa"/>
              <w:start w:w="130" w:type="dxa"/>
              <w:bottom w:w="105" w:type="dxa"/>
              <w:end w:w="130" w:type="dxa"/>
            </w:tcMar>
          </w:tcPr>
          <w:p>
            <w:pPr>
              <w:keepLines/>
              <w:widowControl/>
              <w:spacing w:before="0" w:after="0" w:line="240" w:lineRule="auto"/>
            </w:pPr>
            <w:r>
              <w:rPr>
                <w:rFonts w:ascii="Calibri" w:hAnsi="Calibri" w:eastAsia="Calibri"/>
                <w:b/>
                <w:color w:val="10243A"/>
                <w:sz w:val="18"/>
                <w:lang w:val="es-CL"/>
              </w:rPr>
              <w:t>Observación: Los acuerdos, responsables y fechas consignados en esta minuta fueron revisados y aprobados por el equipo Alunza.</w:t>
            </w:r>
            <w:r>
              <w:rPr>
                <w:rFonts w:ascii="Calibri" w:hAnsi="Calibri" w:eastAsia="Calibri"/>
                <w:color w:val="555B63"/>
                <w:sz w:val="18"/>
                <w:lang w:val="es-CL"/>
              </w:rPr>
              <w:t/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65" w:right="965" w:bottom="965" w:left="965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right"/>
    </w:pPr>
    <w:r>
      <w:rPr>
        <w:rFonts w:ascii="Calibri" w:hAnsi="Calibri" w:eastAsia="Calibri"/>
        <w:color w:val="7A818A"/>
        <w:sz w:val="17"/>
        <w:lang w:val="es-CL"/>
      </w:rPr>
      <w:t xml:space="preserve">Alunza · CAPSTONE 2026-2 · Página </w:t>
    </w:r>
    <w:r>
      <w:rPr>
        <w:rFonts w:ascii="Calibri" w:hAnsi="Calibri"/>
        <w:color w:val="7A818A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40" w:line="240" w:lineRule="auto"/>
      <w:jc w:val="left"/>
      <w:pBdr>
        <w:bottom w:val="single" w:sz="4" w:space="4" w:color="D9DEE5"/>
      </w:pBdr>
    </w:pPr>
    <w:r>
      <w:rPr>
        <w:rFonts w:ascii="Calibri" w:hAnsi="Calibri" w:eastAsia="Calibri"/>
        <w:b/>
        <w:color w:val="10243A"/>
        <w:sz w:val="16"/>
        <w:lang w:val="es-CL"/>
      </w:rPr>
      <w:t>ALUNZA  |  TUTOR UNIVERSITARIO INTELIGENTE PARA PROGRAMACIÓN I  |  CAPSTONE 2026-2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59" w:lineRule="auto"/>
    </w:pPr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lunzaTitle">
    <w:name w:val="Alunza Title"/>
    <w:basedOn w:val="Normal"/>
    <w:pPr>
      <w:keepNext/>
      <w:spacing w:before="0" w:after="20"/>
    </w:pPr>
    <w:rPr>
      <w:rFonts w:ascii="Calibri" w:hAnsi="Calibri"/>
      <w:b/>
      <w:color w:val="10243A"/>
      <w:sz w:val="46"/>
    </w:rPr>
  </w:style>
  <w:style w:type="paragraph" w:customStyle="1" w:styleId="AlunzaSubtitle">
    <w:name w:val="Alunza Subtitle"/>
    <w:basedOn w:val="Normal"/>
    <w:pPr>
      <w:keepNext/>
      <w:spacing w:after="140"/>
    </w:pPr>
    <w:rPr>
      <w:rFonts w:ascii="Calibri" w:hAnsi="Calibri"/>
      <w:b/>
      <w:color w:val="183B56"/>
      <w:sz w:val="25"/>
    </w:rPr>
  </w:style>
  <w:style w:type="paragraph" w:customStyle="1" w:styleId="AlunzaSection">
    <w:name w:val="Alunza Section"/>
    <w:basedOn w:val="Normal"/>
    <w:pPr>
      <w:keepNext/>
      <w:widowControl/>
      <w:spacing w:before="140" w:after="80"/>
    </w:pPr>
    <w:rPr>
      <w:rFonts w:ascii="Calibri" w:hAnsi="Calibri"/>
      <w:b/>
      <w:color w:val="10243A"/>
      <w:sz w:val="24"/>
    </w:rPr>
  </w:style>
  <w:style w:type="paragraph" w:customStyle="1" w:styleId="AlunzaSmall">
    <w:name w:val="Alunza Small"/>
    <w:basedOn w:val="Normal"/>
    <w:pPr>
      <w:spacing w:after="40"/>
    </w:pPr>
    <w:rPr>
      <w:rFonts w:ascii="Calibri" w:hAnsi="Calibri"/>
      <w:color w:val="555B6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Duoc UC</Company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ALZ-MIN-003 - Consolidación de la definición de producto</dc:title>
  <dc:subject>Proyecto de Título CAPSTONE 2026-2 — Alunza</dc:subject>
  <dc:creator>Equipo Alunza</dc:creator>
  <cp:keywords>Alunza, CAPSTONE, minuta, reunión, Programación I</cp:keywords>
  <dc:description>Registro real de acuerdos, decisiones, responsables y fechas del equipo Alunza para la Fase 1.</dc:description>
  <cp:lastModifiedBy>Equipo Alunza</cp:lastModifiedBy>
  <cp:revision>1</cp:revision>
  <dcterms:created xsi:type="dcterms:W3CDTF">2013-12-23T23:15:00Z</dcterms:created>
  <dcterms:modified xsi:type="dcterms:W3CDTF">2013-12-23T23:15:00Z</dcterms:modified>
  <cp:category/>
</cp:coreProperties>
</file>