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60" w:line="240" w:lineRule="auto"/>
      </w:pPr>
      <w:r>
        <w:rPr>
          <w:rFonts w:ascii="Calibri" w:hAnsi="Calibri" w:eastAsia="Calibri"/>
          <w:b/>
          <w:color w:val="0D7C78"/>
          <w:sz w:val="17"/>
          <w:lang w:val="es-CL"/>
        </w:rPr>
        <w:t>REGISTRO DE REUNIÓN</w:t>
      </w:r>
    </w:p>
    <w:p>
      <w:pPr>
        <w:pStyle w:val="AlunzaTitle"/>
      </w:pPr>
      <w:r>
        <w:t>Minuta de reunión</w:t>
      </w:r>
    </w:p>
    <w:p>
      <w:pPr>
        <w:pStyle w:val="AlunzaSubtitle"/>
      </w:pPr>
      <w:r>
        <w:t>Línea base funcional y arquitectura conceptual</w:t>
      </w:r>
    </w:p>
    <w:p>
      <w:pPr>
        <w:keepNext/>
        <w:widowControl/>
        <w:spacing w:before="0" w:after="140" w:line="240" w:lineRule="auto"/>
        <w:pBdr>
          <w:bottom w:val="single" w:sz="16" w:space="4" w:color="F2B600"/>
        </w:pBdr>
      </w:pPr>
      <w:r>
        <w:rPr>
          <w:rFonts w:ascii="Calibri" w:hAnsi="Calibri" w:eastAsia="Calibri"/>
          <w:b/>
          <w:color w:val="555B63"/>
          <w:sz w:val="18"/>
          <w:lang w:val="es-CL"/>
        </w:rPr>
        <w:t>ALZ-MIN-006   ·   SEMANA 3   ·   SESIÓN B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Proyecto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Alunza — Tutor Universitario Inteligente para Programación 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Código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ALZ-MIN-006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Semana / sesión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Semana 3 · Sesión B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Fecha y hora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27 de agosto de 2026 · 18:30 a 19:20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Modalidad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Duoc UC, sede Puente Alto · reunión interna presencial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Tipo de reunión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Revisión técnica y aprobación de definición</w:t>
            </w:r>
          </w:p>
        </w:tc>
      </w:tr>
    </w:tbl>
    <w:p>
      <w:pPr>
        <w:pStyle w:val="AlunzaSection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1. </w:t>
      </w:r>
      <w:r>
        <w:rPr>
          <w:rFonts w:ascii="Calibri" w:hAnsi="Calibri" w:eastAsia="Calibri"/>
          <w:b/>
          <w:color w:val="10243A"/>
          <w:sz w:val="24"/>
          <w:lang w:val="es-CL"/>
        </w:rPr>
        <w:t>Objetivo de la reunión</w:t>
      </w:r>
    </w:p>
    <w:p>
      <w:pPr>
        <w:keepLines w:val="0"/>
        <w:widowControl/>
        <w:spacing w:before="0" w:after="80" w:line="259" w:lineRule="auto"/>
        <w:jc w:val="left"/>
      </w:pPr>
      <w:r>
        <w:rPr>
          <w:rFonts w:ascii="Calibri" w:hAnsi="Calibri" w:eastAsia="Calibri"/>
          <w:i w:val="0"/>
          <w:color w:val="222222"/>
          <w:sz w:val="20"/>
          <w:lang w:val="es-CL"/>
        </w:rPr>
        <w:t>Aprobar Informe_ERS_Alunza.docx como línea base funcional y acordar una arquitectura conceptual suficiente para estimar riesgos, responsabilidades y evidencias técnicas.</w:t>
      </w:r>
    </w:p>
    <w:p>
      <w:pPr>
        <w:pStyle w:val="AlunzaSection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2. </w:t>
      </w:r>
      <w:r>
        <w:rPr>
          <w:rFonts w:ascii="Calibri" w:hAnsi="Calibri" w:eastAsia="Calibri"/>
          <w:b/>
          <w:color w:val="10243A"/>
          <w:sz w:val="24"/>
          <w:lang w:val="es-CL"/>
        </w:rPr>
        <w:t>Participantes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3325"/>
        <w:gridCol w:w="3325"/>
        <w:gridCol w:w="3325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Participante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Foco principal en la sesión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Asistencia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Benjamin Pérez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UX/UI, frontend y documentación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Abraham Retamal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Datos, IA/RAG y calidad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Marcelo Núñez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Product Owner, backend e integración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</w:tbl>
    <w:p>
      <w:pPr>
        <w:pStyle w:val="AlunzaSection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3. </w:t>
      </w:r>
      <w:r>
        <w:rPr>
          <w:rFonts w:ascii="Calibri" w:hAnsi="Calibri" w:eastAsia="Calibri"/>
          <w:b/>
          <w:color w:val="10243A"/>
          <w:sz w:val="24"/>
          <w:lang w:val="es-CL"/>
        </w:rPr>
        <w:t>Temas tratados</w:t>
      </w:r>
    </w:p>
    <w:p>
      <w:pPr>
        <w:widowControl/>
        <w:spacing w:before="0" w:after="36" w:line="245" w:lineRule="auto"/>
        <w:ind w:left="312" w:hanging="170"/>
      </w:pPr>
      <w:r>
        <w:rPr>
          <w:rFonts w:ascii="Calibri" w:hAnsi="Calibri" w:eastAsia="Calibri"/>
          <w:b/>
          <w:color w:val="0D7C78"/>
          <w:sz w:val="20"/>
          <w:lang w:val="es-CL"/>
        </w:rPr>
        <w:t>•</w:t>
      </w:r>
      <w:r>
        <w:rPr>
          <w:rFonts w:ascii="Calibri" w:hAnsi="Calibri" w:eastAsia="Calibri"/>
          <w:color w:val="222222"/>
          <w:sz w:val="20"/>
          <w:lang w:val="es-CL"/>
        </w:rPr>
        <w:t xml:space="preserve">  Aplicación web, API, base de datos, ejecutor controlado, módulo IA, RAG y observabilidad.</w:t>
      </w:r>
    </w:p>
    <w:p>
      <w:pPr>
        <w:widowControl/>
        <w:spacing w:before="0" w:after="36" w:line="245" w:lineRule="auto"/>
        <w:ind w:left="312" w:hanging="170"/>
      </w:pPr>
      <w:r>
        <w:rPr>
          <w:rFonts w:ascii="Calibri" w:hAnsi="Calibri" w:eastAsia="Calibri"/>
          <w:b/>
          <w:color w:val="0D7C78"/>
          <w:sz w:val="20"/>
          <w:lang w:val="es-CL"/>
        </w:rPr>
        <w:t>•</w:t>
      </w:r>
      <w:r>
        <w:rPr>
          <w:rFonts w:ascii="Calibri" w:hAnsi="Calibri" w:eastAsia="Calibri"/>
          <w:color w:val="222222"/>
          <w:sz w:val="20"/>
          <w:lang w:val="es-CL"/>
        </w:rPr>
        <w:t xml:space="preserve">  Modelo de datos para clases, actividades, ejercicios, intentos, eventos, documentos y señales.</w:t>
      </w:r>
    </w:p>
    <w:p>
      <w:pPr>
        <w:widowControl/>
        <w:spacing w:before="0" w:after="36" w:line="245" w:lineRule="auto"/>
        <w:ind w:left="312" w:hanging="170"/>
      </w:pPr>
      <w:r>
        <w:rPr>
          <w:rFonts w:ascii="Calibri" w:hAnsi="Calibri" w:eastAsia="Calibri"/>
          <w:b/>
          <w:color w:val="0D7C78"/>
          <w:sz w:val="20"/>
          <w:lang w:val="es-CL"/>
        </w:rPr>
        <w:t>•</w:t>
      </w:r>
      <w:r>
        <w:rPr>
          <w:rFonts w:ascii="Calibri" w:hAnsi="Calibri" w:eastAsia="Calibri"/>
          <w:color w:val="222222"/>
          <w:sz w:val="20"/>
          <w:lang w:val="es-CL"/>
        </w:rPr>
        <w:t xml:space="preserve">  Requisitos no funcionales de seguridad, rendimiento, confiabilidad y portabilidad.</w:t>
      </w:r>
    </w:p>
    <w:p>
      <w:pPr>
        <w:widowControl/>
        <w:spacing w:before="0" w:after="36" w:line="245" w:lineRule="auto"/>
        <w:ind w:left="312" w:hanging="170"/>
      </w:pPr>
      <w:r>
        <w:rPr>
          <w:rFonts w:ascii="Calibri" w:hAnsi="Calibri" w:eastAsia="Calibri"/>
          <w:b/>
          <w:color w:val="0D7C78"/>
          <w:sz w:val="20"/>
          <w:lang w:val="es-CL"/>
        </w:rPr>
        <w:t>•</w:t>
      </w:r>
      <w:r>
        <w:rPr>
          <w:rFonts w:ascii="Calibri" w:hAnsi="Calibri" w:eastAsia="Calibri"/>
          <w:color w:val="222222"/>
          <w:sz w:val="20"/>
          <w:lang w:val="es-CL"/>
        </w:rPr>
        <w:t xml:space="preserve">  Docker, manejo de fallas y estrategia de pruebas de la ruta crítica.</w:t>
      </w:r>
    </w:p>
    <w:p>
      <w:pPr>
        <w:pStyle w:val="AlunzaSection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4. </w:t>
      </w:r>
      <w:r>
        <w:rPr>
          <w:rFonts w:ascii="Calibri" w:hAnsi="Calibri" w:eastAsia="Calibri"/>
          <w:b/>
          <w:color w:val="10243A"/>
          <w:sz w:val="24"/>
          <w:lang w:val="es-CL"/>
        </w:rPr>
        <w:t>Síntesis de la sesión</w:t>
      </w:r>
    </w:p>
    <w:p>
      <w:pPr>
        <w:keepLines w:val="0"/>
        <w:widowControl/>
        <w:spacing w:before="0" w:after="0" w:line="259" w:lineRule="auto"/>
        <w:jc w:val="left"/>
      </w:pPr>
      <w:r>
        <w:rPr>
          <w:rFonts w:ascii="Calibri" w:hAnsi="Calibri" w:eastAsia="Calibri"/>
          <w:i w:val="0"/>
          <w:color w:val="222222"/>
          <w:sz w:val="20"/>
          <w:lang w:val="es-CL"/>
        </w:rPr>
        <w:t>Informe_ERS_Alunza.docx fue aceptado como referencia funcional viva del proyecto. A nivel conceptual se propuso una aplicación web conectada a una API y una base de datos, con un ejecutor de JavaScript separado del proceso principal, un módulo de IA con salidas estructuradas, un pipeline RAG filtrado por clase y registros de errores, latencia y costo. Se confirmó que un monolito modular es válido si mantiene responsabilidades claras y facilita la entrega en Docker. Si el equipo no logra un aislamiento adecuado, la demostración deberá restringirse y documentar la limitación; no se aceptará ejecutar código arbitrario directamente dentro de la API.</w:t>
      </w:r>
    </w:p>
    <w:p>
      <w:r>
        <w:br w:type="page"/>
      </w:r>
    </w:p>
    <w:p>
      <w:pPr>
        <w:pStyle w:val="AlunzaSection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5. </w:t>
      </w:r>
      <w:r>
        <w:rPr>
          <w:rFonts w:ascii="Calibri" w:hAnsi="Calibri" w:eastAsia="Calibri"/>
          <w:b/>
          <w:color w:val="10243A"/>
          <w:sz w:val="24"/>
          <w:lang w:val="es-CL"/>
        </w:rPr>
        <w:t>Acuerdos adoptados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Tema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Acuerdo adoptado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Línea base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Usar Informe_ERS_Alunza.docx como referencia funcional; cualquier cambio posterior deberá quedar registrado y justificado.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Arquitectura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Preferir simplicidad desplegable y separación de riesgos; no adoptar microservicios solo por apariencia técnica.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Degradación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Persistir el intento y mostrar test cases aunque fallen el LLM o el RAG; usar la categoría unknown cuando falte evidencia.</w:t>
            </w:r>
          </w:p>
        </w:tc>
      </w:tr>
    </w:tbl>
    <w:p>
      <w:pPr>
        <w:pStyle w:val="AlunzaSection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6. </w:t>
      </w:r>
      <w:r>
        <w:rPr>
          <w:rFonts w:ascii="Calibri" w:hAnsi="Calibri" w:eastAsia="Calibri"/>
          <w:b/>
          <w:color w:val="10243A"/>
          <w:sz w:val="24"/>
          <w:lang w:val="es-CL"/>
        </w:rPr>
        <w:t>Compromisos y responsables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3325"/>
        <w:gridCol w:w="3325"/>
        <w:gridCol w:w="3325"/>
      </w:tblGrid>
      <w:tr>
        <w:trPr>
          <w:cantSplit/>
          <w:tblHeader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Actividad comprometida</w:t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Responsable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Fecha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Actualizar los mockups y el relato de Presentacion_Alunza_CAPSTONE_Fase1.pptx.</w:t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Benjamin Pérez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31-08-2026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Consolidar la arquitectura backend, la autorización, la integración y la configuración Docker.</w:t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Marcelo Núñez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31-08-2026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Consolidar el modelo de datos y preparar el plan de pruebas, los spikes de IA/RAG y el registro de riesgos.</w:t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Abraham Retamal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31-08-2026</w:t>
            </w:r>
          </w:p>
        </w:tc>
      </w:tr>
    </w:tbl>
    <w:p>
      <w:pPr>
        <w:pStyle w:val="AlunzaSection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7. </w:t>
      </w:r>
      <w:r>
        <w:rPr>
          <w:rFonts w:ascii="Calibri" w:hAnsi="Calibri" w:eastAsia="Calibri"/>
          <w:b/>
          <w:color w:val="10243A"/>
          <w:sz w:val="24"/>
          <w:lang w:val="es-CL"/>
        </w:rPr>
        <w:t>Riesgos y bloqueos</w:t>
      </w:r>
    </w:p>
    <w:p>
      <w:pPr>
        <w:widowControl/>
        <w:spacing w:before="0" w:after="36" w:line="245" w:lineRule="auto"/>
        <w:ind w:left="312" w:hanging="170"/>
      </w:pPr>
      <w:r>
        <w:rPr>
          <w:rFonts w:ascii="Calibri" w:hAnsi="Calibri" w:eastAsia="Calibri"/>
          <w:b/>
          <w:color w:val="0D7C78"/>
          <w:sz w:val="20"/>
          <w:lang w:val="es-CL"/>
        </w:rPr>
        <w:t>•</w:t>
      </w:r>
      <w:r>
        <w:rPr>
          <w:rFonts w:ascii="Calibri" w:hAnsi="Calibri" w:eastAsia="Calibri"/>
          <w:color w:val="222222"/>
          <w:sz w:val="20"/>
          <w:lang w:val="es-CL"/>
        </w:rPr>
        <w:t xml:space="preserve">  Persisten decisiones abiertas sobre stack, proveedor de IA, índice vectorial, ejecutor y entorno de despliegue.</w:t>
      </w:r>
    </w:p>
    <w:p>
      <w:pPr>
        <w:widowControl/>
        <w:spacing w:before="0" w:after="36" w:line="245" w:lineRule="auto"/>
        <w:ind w:left="312" w:hanging="170"/>
      </w:pPr>
      <w:r>
        <w:rPr>
          <w:rFonts w:ascii="Calibri" w:hAnsi="Calibri" w:eastAsia="Calibri"/>
          <w:b/>
          <w:color w:val="0D7C78"/>
          <w:sz w:val="20"/>
          <w:lang w:val="es-CL"/>
        </w:rPr>
        <w:t>•</w:t>
      </w:r>
      <w:r>
        <w:rPr>
          <w:rFonts w:ascii="Calibri" w:hAnsi="Calibri" w:eastAsia="Calibri"/>
          <w:color w:val="222222"/>
          <w:sz w:val="20"/>
          <w:lang w:val="es-CL"/>
        </w:rPr>
        <w:t xml:space="preserve">  Una arquitectura demasiado distribuida podría aumentar integración, operación y documentación sin aportar al flujo principal.</w:t>
      </w:r>
    </w:p>
    <w:p>
      <w:pPr>
        <w:pStyle w:val="AlunzaSection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8. </w:t>
      </w:r>
      <w:r>
        <w:rPr>
          <w:rFonts w:ascii="Calibri" w:hAnsi="Calibri" w:eastAsia="Calibri"/>
          <w:b/>
          <w:color w:val="10243A"/>
          <w:sz w:val="24"/>
          <w:lang w:val="es-CL"/>
        </w:rPr>
        <w:t>Próxima sesión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7F4F3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Próxima fecha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31 de agosto de 2026 · 19:00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7F4F3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Objetivo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Auditar todos los artefactos de Fase 1, eliminar contradicciones y cerrar pendientes de presentación.</w:t>
            </w:r>
          </w:p>
        </w:tc>
      </w:tr>
    </w:tbl>
    <w:p>
      <w:pPr>
        <w:widowControl/>
        <w:spacing w:before="120" w:after="80" w:line="240" w:lineRule="auto"/>
      </w:pP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E4C44E"/>
          <w:left w:val="single" w:sz="6" w:space="0" w:color="E4C44E"/>
          <w:bottom w:val="single" w:sz="6" w:space="0" w:color="E4C44E"/>
          <w:right w:val="single" w:sz="6" w:space="0" w:color="E4C44E"/>
          <w:insideH w:val="single" w:sz="0" w:space="0" w:color="E4C44E"/>
          <w:insideV w:val="single" w:sz="0" w:space="0" w:color="E4C44E"/>
        </w:tblBorders>
      </w:tblPr>
      <w:tblGrid>
        <w:gridCol w:w="9976"/>
      </w:tblGrid>
      <w:tr>
        <w:trPr>
          <w:cantSplit/>
        </w:trPr>
        <w:tc>
          <w:tcPr>
            <w:tcW w:type="dxa" w:w="9576"/>
            <w:shd w:fill="FFF5CC" w:val="clea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0243A"/>
                <w:sz w:val="18"/>
                <w:lang w:val="es-CL"/>
              </w:rPr>
              <w:t>Observación: Los acuerdos, responsables y fechas consignados en esta minuta fueron revisados y aprobados por el equipo Alunza.</w:t>
            </w:r>
            <w:r>
              <w:rPr>
                <w:rFonts w:ascii="Calibri" w:hAnsi="Calibri" w:eastAsia="Calibri"/>
                <w:color w:val="555B63"/>
                <w:sz w:val="18"/>
                <w:lang w:val="es-CL"/>
              </w:rPr>
              <w:t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5" w:right="965" w:bottom="965" w:left="9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Calibri"/>
        <w:color w:val="7A818A"/>
        <w:sz w:val="17"/>
        <w:lang w:val="es-CL"/>
      </w:rPr>
      <w:t xml:space="preserve">Alunza · CAPSTONE 2026-2 · Página </w:t>
    </w:r>
    <w:r>
      <w:rPr>
        <w:rFonts w:ascii="Calibri" w:hAnsi="Calibri"/>
        <w:color w:val="7A818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40" w:line="240" w:lineRule="auto"/>
      <w:jc w:val="left"/>
      <w:pBdr>
        <w:bottom w:val="single" w:sz="4" w:space="4" w:color="D9DEE5"/>
      </w:pBdr>
    </w:pPr>
    <w:r>
      <w:rPr>
        <w:rFonts w:ascii="Calibri" w:hAnsi="Calibri" w:eastAsia="Calibri"/>
        <w:b/>
        <w:color w:val="10243A"/>
        <w:sz w:val="16"/>
        <w:lang w:val="es-CL"/>
      </w:rPr>
      <w:t>ALUNZA  |  TUTOR UNIVERSITARIO INTELIGENTE PARA PROGRAMACIÓN I  |  CAPSTONE 2026-2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9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lunzaTitle">
    <w:name w:val="Alunza Title"/>
    <w:basedOn w:val="Normal"/>
    <w:pPr>
      <w:keepNext/>
      <w:spacing w:before="0" w:after="20"/>
    </w:pPr>
    <w:rPr>
      <w:rFonts w:ascii="Calibri" w:hAnsi="Calibri"/>
      <w:b/>
      <w:color w:val="10243A"/>
      <w:sz w:val="46"/>
    </w:rPr>
  </w:style>
  <w:style w:type="paragraph" w:customStyle="1" w:styleId="AlunzaSubtitle">
    <w:name w:val="Alunza Subtitle"/>
    <w:basedOn w:val="Normal"/>
    <w:pPr>
      <w:keepNext/>
      <w:spacing w:after="140"/>
    </w:pPr>
    <w:rPr>
      <w:rFonts w:ascii="Calibri" w:hAnsi="Calibri"/>
      <w:b/>
      <w:color w:val="183B56"/>
      <w:sz w:val="25"/>
    </w:rPr>
  </w:style>
  <w:style w:type="paragraph" w:customStyle="1" w:styleId="AlunzaSection">
    <w:name w:val="Alunza Section"/>
    <w:basedOn w:val="Normal"/>
    <w:pPr>
      <w:keepNext/>
      <w:widowControl/>
      <w:spacing w:before="140" w:after="80"/>
    </w:pPr>
    <w:rPr>
      <w:rFonts w:ascii="Calibri" w:hAnsi="Calibri"/>
      <w:b/>
      <w:color w:val="10243A"/>
      <w:sz w:val="24"/>
    </w:rPr>
  </w:style>
  <w:style w:type="paragraph" w:customStyle="1" w:styleId="AlunzaSmall">
    <w:name w:val="Alunza Small"/>
    <w:basedOn w:val="Normal"/>
    <w:pPr>
      <w:spacing w:after="40"/>
    </w:pPr>
    <w:rPr>
      <w:rFonts w:ascii="Calibri" w:hAnsi="Calibri"/>
      <w:color w:val="555B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Duoc UC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ALZ-MIN-006 — Línea base 1.1 y arquitectura conceptual</dc:title>
  <dc:subject>Proyecto de Título CAPSTONE 2026-2 — Alunza</dc:subject>
  <dc:creator>Equipo Alunza</dc:creator>
  <cp:keywords>Alunza, CAPSTONE, minuta, reunión, Programación I</cp:keywords>
  <dc:description>Registro real de acuerdos, decisiones, responsables y fechas del equipo Alunza para la Fase 1.</dc:description>
  <cp:lastModifiedBy>Equipo Alunza</cp:lastModifiedBy>
  <cp:revision>1</cp:revision>
  <dcterms:created xsi:type="dcterms:W3CDTF">2013-12-23T23:15:00Z</dcterms:created>
  <dcterms:modified xsi:type="dcterms:W3CDTF">2013-12-23T23:15:00Z</dcterms:modified>
  <cp:category/>
</cp:coreProperties>
</file>