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06F7" w14:textId="77777777" w:rsidR="00E726CB" w:rsidRDefault="00E726CB"/>
    <w:p w14:paraId="397C2D83" w14:textId="77777777" w:rsidR="00E726CB" w:rsidRDefault="00E726CB"/>
    <w:p w14:paraId="6BEAD720" w14:textId="77777777" w:rsidR="00E726CB" w:rsidRDefault="00E726CB"/>
    <w:p w14:paraId="2B4BCCFB" w14:textId="77777777" w:rsidR="00E726CB" w:rsidRDefault="00E726CB"/>
    <w:p w14:paraId="16037175" w14:textId="77777777" w:rsidR="00E726CB" w:rsidRDefault="00E726CB"/>
    <w:p w14:paraId="1D2458CB" w14:textId="77777777" w:rsidR="00E726CB" w:rsidRDefault="00E726CB"/>
    <w:p w14:paraId="166F1B92" w14:textId="77777777" w:rsidR="00E726CB" w:rsidRDefault="00E726CB"/>
    <w:p w14:paraId="3F816FE1" w14:textId="77777777" w:rsidR="00E726CB" w:rsidRDefault="00E726CB"/>
    <w:p w14:paraId="63ADDB49" w14:textId="77777777" w:rsidR="00E726CB" w:rsidRDefault="00E726CB"/>
    <w:p w14:paraId="1FC2637A" w14:textId="77777777" w:rsidR="00E726CB" w:rsidRDefault="00E726CB"/>
    <w:p w14:paraId="7F6EFEA2" w14:textId="77777777" w:rsidR="00E726CB" w:rsidRDefault="00E726CB"/>
    <w:p w14:paraId="602B7959" w14:textId="77777777" w:rsidR="00E726CB" w:rsidRDefault="00E726CB"/>
    <w:p w14:paraId="7EDB25C4" w14:textId="77777777" w:rsidR="00E726CB" w:rsidRDefault="00E726CB"/>
    <w:p w14:paraId="3844D99F" w14:textId="77777777" w:rsidR="00E726CB" w:rsidRDefault="00E726CB"/>
    <w:p w14:paraId="445D87B2" w14:textId="77777777" w:rsidR="00E726CB" w:rsidRDefault="00E726CB"/>
    <w:p w14:paraId="532B96D2" w14:textId="77777777" w:rsidR="00E726CB" w:rsidRDefault="00E726CB"/>
    <w:p w14:paraId="4A45EA5A" w14:textId="77777777" w:rsidR="00E726CB" w:rsidRDefault="00E726CB"/>
    <w:p w14:paraId="773C6665" w14:textId="77777777" w:rsidR="00E726CB" w:rsidRDefault="00E726CB"/>
    <w:p w14:paraId="63311984" w14:textId="77777777" w:rsidR="00E726CB" w:rsidRDefault="00E726CB"/>
    <w:p w14:paraId="6DACBB49" w14:textId="77777777" w:rsidR="00E726CB" w:rsidRDefault="00E726CB"/>
    <w:p w14:paraId="1699D3A9" w14:textId="77777777" w:rsidR="00E726CB" w:rsidRDefault="00E726CB"/>
    <w:p w14:paraId="2659C2DA" w14:textId="77777777" w:rsidR="00E726CB" w:rsidRDefault="00E726CB"/>
    <w:p w14:paraId="5C94F179" w14:textId="77777777" w:rsidR="00E726CB" w:rsidRDefault="00E726CB"/>
    <w:p w14:paraId="59008559" w14:textId="77777777" w:rsidR="00E726CB" w:rsidRDefault="00E726CB"/>
    <w:p w14:paraId="040891BC" w14:textId="77777777" w:rsidR="00E726CB" w:rsidRDefault="00E726CB"/>
    <w:p w14:paraId="57CB8A13" w14:textId="77777777" w:rsidR="00E726CB" w:rsidRDefault="00E726CB"/>
    <w:p w14:paraId="367CDE42" w14:textId="77777777" w:rsidR="00E726CB" w:rsidRPr="001D11BD" w:rsidRDefault="00257D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es-CL"/>
        </w:rPr>
      </w:pPr>
      <w:r w:rsidRPr="001D11BD">
        <w:rPr>
          <w:b/>
          <w:color w:val="000080"/>
          <w:sz w:val="36"/>
          <w:szCs w:val="36"/>
          <w:lang w:val="es-CL"/>
        </w:rPr>
        <w:t>ALUNZA</w:t>
      </w:r>
    </w:p>
    <w:p w14:paraId="6F675E45" w14:textId="77777777" w:rsidR="00E726CB" w:rsidRPr="001D11BD" w:rsidRDefault="00257D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es-CL"/>
        </w:rPr>
      </w:pPr>
      <w:r w:rsidRPr="001D11BD">
        <w:rPr>
          <w:b/>
          <w:color w:val="000080"/>
          <w:sz w:val="36"/>
          <w:szCs w:val="36"/>
          <w:lang w:val="es-CL"/>
        </w:rPr>
        <w:t>(DAS) Documento Arquitectura Sistema</w:t>
      </w:r>
    </w:p>
    <w:p w14:paraId="6B98642A" w14:textId="77777777" w:rsidR="00E726CB" w:rsidRPr="001D11BD" w:rsidRDefault="00257D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es-CL"/>
        </w:rPr>
      </w:pPr>
      <w:r>
        <w:rPr>
          <w:b/>
          <w:color w:val="000080"/>
          <w:sz w:val="36"/>
          <w:szCs w:val="36"/>
          <w:lang w:val="es-CL"/>
        </w:rPr>
        <w:t>Versión 1.2</w:t>
      </w:r>
    </w:p>
    <w:p w14:paraId="50479D10" w14:textId="77777777" w:rsidR="00E726CB" w:rsidRPr="001D11BD" w:rsidRDefault="00E72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  <w:lang w:val="es-CL"/>
        </w:rPr>
      </w:pPr>
    </w:p>
    <w:p w14:paraId="666147C0" w14:textId="77777777" w:rsidR="00E726CB" w:rsidRPr="001D11BD" w:rsidRDefault="00E726CB">
      <w:pPr>
        <w:rPr>
          <w:lang w:val="es-CL"/>
        </w:rPr>
      </w:pPr>
    </w:p>
    <w:p w14:paraId="3D0A81E4" w14:textId="77777777" w:rsidR="00E726CB" w:rsidRPr="001D11BD" w:rsidRDefault="00E726CB">
      <w:pPr>
        <w:rPr>
          <w:lang w:val="es-CL"/>
        </w:rPr>
      </w:pPr>
    </w:p>
    <w:p w14:paraId="5725EC4E" w14:textId="77777777" w:rsidR="00E726CB" w:rsidRPr="001D11BD" w:rsidRDefault="00E726CB">
      <w:pPr>
        <w:rPr>
          <w:lang w:val="es-CL"/>
        </w:rPr>
      </w:pPr>
    </w:p>
    <w:p w14:paraId="64E75C6D" w14:textId="77777777" w:rsidR="00E726CB" w:rsidRPr="001D11BD" w:rsidRDefault="00E726CB">
      <w:pPr>
        <w:rPr>
          <w:lang w:val="es-CL"/>
        </w:rPr>
      </w:pPr>
    </w:p>
    <w:p w14:paraId="1AD1B79D" w14:textId="77777777" w:rsidR="00E726CB" w:rsidRPr="001D11BD" w:rsidRDefault="00E726CB">
      <w:pPr>
        <w:rPr>
          <w:lang w:val="es-CL"/>
        </w:rPr>
      </w:pPr>
    </w:p>
    <w:p w14:paraId="7A7DB8BB" w14:textId="77777777" w:rsidR="00E726CB" w:rsidRPr="001D11BD" w:rsidRDefault="00E726CB">
      <w:pPr>
        <w:rPr>
          <w:lang w:val="es-CL"/>
        </w:rPr>
      </w:pPr>
    </w:p>
    <w:p w14:paraId="4424CEB3" w14:textId="77777777" w:rsidR="00E726CB" w:rsidRPr="001D11BD" w:rsidRDefault="00E726CB">
      <w:pPr>
        <w:rPr>
          <w:lang w:val="es-CL"/>
        </w:rPr>
      </w:pPr>
    </w:p>
    <w:p w14:paraId="531A911A" w14:textId="77777777" w:rsidR="00E726CB" w:rsidRPr="001D11BD" w:rsidRDefault="00E726CB">
      <w:pPr>
        <w:rPr>
          <w:lang w:val="es-CL"/>
        </w:rPr>
      </w:pPr>
    </w:p>
    <w:p w14:paraId="3D3D77C0" w14:textId="77777777" w:rsidR="00E726CB" w:rsidRPr="001D11BD" w:rsidRDefault="00E726CB">
      <w:pPr>
        <w:rPr>
          <w:lang w:val="es-CL"/>
        </w:rPr>
      </w:pPr>
    </w:p>
    <w:p w14:paraId="7A27CA67" w14:textId="77777777" w:rsidR="00E726CB" w:rsidRPr="001D11BD" w:rsidRDefault="00E726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i/>
          <w:color w:val="0000FF"/>
          <w:lang w:val="es-CL"/>
        </w:rPr>
      </w:pPr>
    </w:p>
    <w:p w14:paraId="638CC076" w14:textId="77777777" w:rsidR="00E726CB" w:rsidRPr="001D11BD" w:rsidRDefault="00E726CB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  <w:lang w:val="es-CL"/>
        </w:rPr>
      </w:pPr>
    </w:p>
    <w:p w14:paraId="29C05033" w14:textId="77777777" w:rsidR="00E726CB" w:rsidRPr="001D11BD" w:rsidRDefault="00257D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es-CL"/>
        </w:rPr>
      </w:pPr>
      <w:r w:rsidRPr="001D11BD">
        <w:rPr>
          <w:lang w:val="es-CL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A5AEF3" wp14:editId="7735595F">
                <wp:simplePos x="0" y="0"/>
                <wp:positionH relativeFrom="column">
                  <wp:posOffset>-1181099</wp:posOffset>
                </wp:positionH>
                <wp:positionV relativeFrom="paragraph">
                  <wp:posOffset>2197100</wp:posOffset>
                </wp:positionV>
                <wp:extent cx="7896225" cy="240665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2650" y="366443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66939C" w14:textId="77777777" w:rsidR="00E726CB" w:rsidRDefault="00E726C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5AEF3" id="Rectángulo 13" o:spid="_x0000_s1026" style="position:absolute;margin-left:-93pt;margin-top:173pt;width:621.75pt;height:18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" fillcolor="#36c" stroked="f">
                <v:textbox inset="2.53958mm,2.53958mm,2.53958mm,2.53958mm">
                  <w:txbxContent>
                    <w:p w14:paraId="1266939C" w14:textId="77777777" w:rsidR="00E726CB" w:rsidRDefault="00E726C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1D18C7E" w14:textId="77777777" w:rsidR="00E726CB" w:rsidRDefault="00257D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r>
        <w:rPr>
          <w:b/>
          <w:color w:val="000080"/>
          <w:sz w:val="28"/>
          <w:szCs w:val="28"/>
        </w:rPr>
        <w:lastRenderedPageBreak/>
        <w:t>Identificación de Documento</w:t>
      </w:r>
    </w:p>
    <w:tbl>
      <w:tblPr>
        <w:tblStyle w:val="a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2775"/>
        <w:gridCol w:w="6115"/>
      </w:tblGrid>
      <w:tr w:rsidR="00E726CB" w14:paraId="13849E5F" w14:textId="77777777">
        <w:trPr>
          <w:cantSplit/>
        </w:trPr>
        <w:tc>
          <w:tcPr>
            <w:tcW w:w="2775" w:type="dxa"/>
            <w:shd w:val="clear" w:color="auto" w:fill="F3F3F3"/>
            <w:vAlign w:val="center"/>
          </w:tcPr>
          <w:p w14:paraId="6F07A10D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Identificación</w:t>
            </w:r>
          </w:p>
        </w:tc>
        <w:tc>
          <w:tcPr>
            <w:tcW w:w="6115" w:type="dxa"/>
            <w:vAlign w:val="center"/>
          </w:tcPr>
          <w:p w14:paraId="12BA636A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ALZ-DAS-001</w:t>
            </w:r>
          </w:p>
        </w:tc>
      </w:tr>
      <w:tr w:rsidR="00E726CB" w:rsidRPr="001D11BD" w14:paraId="46C58B90" w14:textId="77777777">
        <w:trPr>
          <w:cantSplit/>
        </w:trPr>
        <w:tc>
          <w:tcPr>
            <w:tcW w:w="2775" w:type="dxa"/>
            <w:shd w:val="clear" w:color="auto" w:fill="F3F3F3"/>
            <w:vAlign w:val="center"/>
          </w:tcPr>
          <w:p w14:paraId="61BC5337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Proyecto</w:t>
            </w:r>
          </w:p>
        </w:tc>
        <w:tc>
          <w:tcPr>
            <w:tcW w:w="6115" w:type="dxa"/>
            <w:vAlign w:val="center"/>
          </w:tcPr>
          <w:p w14:paraId="10D1415F" w14:textId="77777777" w:rsidR="00E726CB" w:rsidRPr="001D11BD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Alunza — Tutor Universitario Inteligente para Programación I</w:t>
            </w:r>
          </w:p>
        </w:tc>
      </w:tr>
      <w:tr w:rsidR="00E726CB" w14:paraId="600BB0B0" w14:textId="77777777">
        <w:trPr>
          <w:cantSplit/>
        </w:trPr>
        <w:tc>
          <w:tcPr>
            <w:tcW w:w="2775" w:type="dxa"/>
            <w:shd w:val="clear" w:color="auto" w:fill="F3F3F3"/>
            <w:vAlign w:val="center"/>
          </w:tcPr>
          <w:p w14:paraId="2387FA0B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Versión</w:t>
            </w:r>
          </w:p>
        </w:tc>
        <w:tc>
          <w:tcPr>
            <w:tcW w:w="6115" w:type="dxa"/>
            <w:vAlign w:val="center"/>
          </w:tcPr>
          <w:p w14:paraId="32902C99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1.2 – 23/10/2026</w:t>
            </w:r>
          </w:p>
        </w:tc>
      </w:tr>
    </w:tbl>
    <w:p w14:paraId="3B86383D" w14:textId="77777777" w:rsidR="00FA351F" w:rsidRDefault="00FA351F">
      <w:pPr>
        <w:widowControl/>
        <w:spacing w:after="90" w:line="240" w:lineRule="auto"/>
      </w:pPr>
    </w:p>
    <w:tbl>
      <w:tblPr>
        <w:tblStyle w:val="a0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2813"/>
        <w:gridCol w:w="6077"/>
      </w:tblGrid>
      <w:tr w:rsidR="00E726CB" w:rsidRPr="001D11BD" w14:paraId="0FFCFBA0" w14:textId="77777777">
        <w:trPr>
          <w:cantSplit/>
        </w:trPr>
        <w:tc>
          <w:tcPr>
            <w:tcW w:w="2813" w:type="dxa"/>
            <w:shd w:val="clear" w:color="auto" w:fill="F3F3F3"/>
            <w:vAlign w:val="center"/>
          </w:tcPr>
          <w:p w14:paraId="27285002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Documento mantenido por</w:t>
            </w:r>
          </w:p>
        </w:tc>
        <w:tc>
          <w:tcPr>
            <w:tcW w:w="6077" w:type="dxa"/>
            <w:vAlign w:val="center"/>
          </w:tcPr>
          <w:p w14:paraId="50921A04" w14:textId="77777777" w:rsidR="00E726CB" w:rsidRPr="001D11BD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 xml:space="preserve">Equipo Alunza: </w:t>
            </w:r>
            <w:r w:rsidR="001D11BD" w:rsidRPr="001D11BD">
              <w:rPr>
                <w:color w:val="000000"/>
                <w:sz w:val="21"/>
                <w:szCs w:val="21"/>
                <w:lang w:val="es-CL"/>
              </w:rPr>
              <w:t>Marcelo Núñez, Benjamin Pérez y Abraham Retamal.</w:t>
            </w:r>
          </w:p>
        </w:tc>
      </w:tr>
      <w:tr w:rsidR="00E726CB" w:rsidRPr="001D11BD" w14:paraId="10E6AA91" w14:textId="77777777">
        <w:trPr>
          <w:cantSplit/>
        </w:trPr>
        <w:tc>
          <w:tcPr>
            <w:tcW w:w="2813" w:type="dxa"/>
            <w:shd w:val="clear" w:color="auto" w:fill="F3F3F3"/>
            <w:vAlign w:val="center"/>
          </w:tcPr>
          <w:p w14:paraId="774DD960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Fecha de última revisión</w:t>
            </w:r>
          </w:p>
        </w:tc>
        <w:tc>
          <w:tcPr>
            <w:tcW w:w="6077" w:type="dxa"/>
            <w:vAlign w:val="center"/>
          </w:tcPr>
          <w:p w14:paraId="0099372F" w14:textId="77777777" w:rsidR="00E726CB" w:rsidRPr="001D11BD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23/10/2026 – revisión técnica documental</w:t>
            </w:r>
          </w:p>
        </w:tc>
      </w:tr>
      <w:tr w:rsidR="00E726CB" w:rsidRPr="001D11BD" w14:paraId="64F6970F" w14:textId="77777777">
        <w:trPr>
          <w:cantSplit/>
        </w:trPr>
        <w:tc>
          <w:tcPr>
            <w:tcW w:w="2813" w:type="dxa"/>
            <w:shd w:val="clear" w:color="auto" w:fill="F3F3F3"/>
            <w:vAlign w:val="center"/>
          </w:tcPr>
          <w:p w14:paraId="7C2A41C2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Fecha de próxima revisión</w:t>
            </w:r>
          </w:p>
        </w:tc>
        <w:tc>
          <w:tcPr>
            <w:tcW w:w="6077" w:type="dxa"/>
            <w:vAlign w:val="center"/>
          </w:tcPr>
          <w:p w14:paraId="7C29A6F2" w14:textId="77777777" w:rsidR="00E726CB" w:rsidRPr="001D11BD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Próximo cierre de incremento y antes de la entrega/demo; fecha por acordar</w:t>
            </w:r>
          </w:p>
        </w:tc>
      </w:tr>
    </w:tbl>
    <w:p w14:paraId="630E121C" w14:textId="77777777" w:rsidR="00FA351F" w:rsidRPr="001D11BD" w:rsidRDefault="00FA351F">
      <w:pPr>
        <w:widowControl/>
        <w:spacing w:after="90" w:line="240" w:lineRule="auto"/>
        <w:rPr>
          <w:lang w:val="es-CL"/>
        </w:rPr>
      </w:pPr>
    </w:p>
    <w:tbl>
      <w:tblPr>
        <w:tblStyle w:val="a1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2822"/>
        <w:gridCol w:w="6068"/>
      </w:tblGrid>
      <w:tr w:rsidR="00E726CB" w:rsidRPr="001D11BD" w14:paraId="1DEF81C0" w14:textId="77777777">
        <w:trPr>
          <w:cantSplit/>
        </w:trPr>
        <w:tc>
          <w:tcPr>
            <w:tcW w:w="2822" w:type="dxa"/>
            <w:shd w:val="clear" w:color="auto" w:fill="F3F3F3"/>
            <w:vAlign w:val="center"/>
          </w:tcPr>
          <w:p w14:paraId="2DD99916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Responsable de aprobación</w:t>
            </w:r>
          </w:p>
        </w:tc>
        <w:tc>
          <w:tcPr>
            <w:tcW w:w="6068" w:type="dxa"/>
            <w:vAlign w:val="center"/>
          </w:tcPr>
          <w:p w14:paraId="0FD29D76" w14:textId="77777777" w:rsidR="00E726CB" w:rsidRPr="001D11BD" w:rsidRDefault="001D11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Marcelo Núñez</w:t>
            </w:r>
          </w:p>
        </w:tc>
      </w:tr>
      <w:tr w:rsidR="00E726CB" w14:paraId="6B60C0F2" w14:textId="77777777">
        <w:trPr>
          <w:cantSplit/>
        </w:trPr>
        <w:tc>
          <w:tcPr>
            <w:tcW w:w="2822" w:type="dxa"/>
            <w:shd w:val="clear" w:color="auto" w:fill="F3F3F3"/>
            <w:vAlign w:val="center"/>
          </w:tcPr>
          <w:p w14:paraId="085159FA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Estado de aprobación de esta versión</w:t>
            </w:r>
          </w:p>
        </w:tc>
        <w:tc>
          <w:tcPr>
            <w:tcW w:w="6068" w:type="dxa"/>
            <w:vAlign w:val="center"/>
          </w:tcPr>
          <w:p w14:paraId="33F57A47" w14:textId="77777777" w:rsidR="00E726CB" w:rsidRDefault="001D11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Versión 1.2 pendiente de revisión y aprobación; sin fecha de aprobación registrada.</w:t>
            </w:r>
          </w:p>
        </w:tc>
      </w:tr>
    </w:tbl>
    <w:p w14:paraId="79D6E4DE" w14:textId="77777777" w:rsidR="00FA351F" w:rsidRDefault="00FA351F">
      <w:pPr>
        <w:widowControl/>
        <w:spacing w:after="90" w:line="240" w:lineRule="auto"/>
      </w:pPr>
    </w:p>
    <w:p w14:paraId="44171AA6" w14:textId="77777777" w:rsidR="00E726CB" w:rsidRDefault="00257D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r>
        <w:rPr>
          <w:b/>
          <w:color w:val="000080"/>
          <w:sz w:val="28"/>
          <w:szCs w:val="28"/>
        </w:rPr>
        <w:t>Historia de Revisiones</w:t>
      </w:r>
    </w:p>
    <w:tbl>
      <w:tblPr>
        <w:tblStyle w:val="a2"/>
        <w:tblW w:w="90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E726CB" w14:paraId="6B640BD1" w14:textId="77777777">
        <w:trPr>
          <w:cantSplit/>
          <w:tblHeader/>
        </w:trPr>
        <w:tc>
          <w:tcPr>
            <w:tcW w:w="2196" w:type="dxa"/>
            <w:shd w:val="clear" w:color="auto" w:fill="F3F3F3"/>
            <w:vAlign w:val="center"/>
          </w:tcPr>
          <w:p w14:paraId="456631D7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Fecha</w:t>
            </w:r>
          </w:p>
        </w:tc>
        <w:tc>
          <w:tcPr>
            <w:tcW w:w="1152" w:type="dxa"/>
            <w:shd w:val="clear" w:color="auto" w:fill="F3F3F3"/>
            <w:vAlign w:val="center"/>
          </w:tcPr>
          <w:p w14:paraId="7C92CF48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Versión</w:t>
            </w:r>
          </w:p>
        </w:tc>
        <w:tc>
          <w:tcPr>
            <w:tcW w:w="3744" w:type="dxa"/>
            <w:shd w:val="clear" w:color="auto" w:fill="F3F3F3"/>
            <w:vAlign w:val="center"/>
          </w:tcPr>
          <w:p w14:paraId="2726F69E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Descripción</w:t>
            </w:r>
          </w:p>
        </w:tc>
        <w:tc>
          <w:tcPr>
            <w:tcW w:w="1908" w:type="dxa"/>
            <w:shd w:val="clear" w:color="auto" w:fill="F3F3F3"/>
            <w:vAlign w:val="center"/>
          </w:tcPr>
          <w:p w14:paraId="1CCFCFCF" w14:textId="77777777" w:rsidR="00E726CB" w:rsidRDefault="00257DF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1"/>
                <w:szCs w:val="21"/>
              </w:rPr>
              <w:t>Autor</w:t>
            </w:r>
          </w:p>
        </w:tc>
      </w:tr>
      <w:tr w:rsidR="00E726CB" w:rsidRPr="001D11BD" w14:paraId="0B79E8FF" w14:textId="77777777">
        <w:trPr>
          <w:cantSplit/>
        </w:trPr>
        <w:tc>
          <w:tcPr>
            <w:tcW w:w="2196" w:type="dxa"/>
            <w:vAlign w:val="center"/>
          </w:tcPr>
          <w:p w14:paraId="78264609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06/10/2026</w:t>
            </w:r>
          </w:p>
        </w:tc>
        <w:tc>
          <w:tcPr>
            <w:tcW w:w="1152" w:type="dxa"/>
            <w:vAlign w:val="center"/>
          </w:tcPr>
          <w:p w14:paraId="6F59C3DF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1.0</w:t>
            </w:r>
          </w:p>
        </w:tc>
        <w:tc>
          <w:tcPr>
            <w:tcW w:w="3744" w:type="dxa"/>
            <w:vAlign w:val="center"/>
          </w:tcPr>
          <w:p w14:paraId="61BC44E9" w14:textId="77777777" w:rsidR="00E726CB" w:rsidRPr="001D11BD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Revisión documental de arquitectura 4+1: alcance, componentes, datos, seguridad y estado local según la ERS y los registros de IMP-02.</w:t>
            </w:r>
          </w:p>
        </w:tc>
        <w:tc>
          <w:tcPr>
            <w:tcW w:w="1908" w:type="dxa"/>
            <w:vAlign w:val="center"/>
          </w:tcPr>
          <w:p w14:paraId="0EAC8513" w14:textId="77777777" w:rsidR="00E726CB" w:rsidRPr="001D11BD" w:rsidRDefault="001D11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Revisión documental</w:t>
            </w:r>
          </w:p>
        </w:tc>
      </w:tr>
      <w:tr w:rsidR="00E726CB" w:rsidRPr="001D11BD" w14:paraId="6A99A64D" w14:textId="77777777">
        <w:trPr>
          <w:cantSplit/>
        </w:trPr>
        <w:tc>
          <w:tcPr>
            <w:tcW w:w="2196" w:type="dxa"/>
            <w:vAlign w:val="center"/>
          </w:tcPr>
          <w:p w14:paraId="5EEC2FDD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16/10/2026</w:t>
            </w:r>
          </w:p>
        </w:tc>
        <w:tc>
          <w:tcPr>
            <w:tcW w:w="1152" w:type="dxa"/>
            <w:vAlign w:val="center"/>
          </w:tcPr>
          <w:p w14:paraId="25F51817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1.1</w:t>
            </w:r>
          </w:p>
        </w:tc>
        <w:tc>
          <w:tcPr>
            <w:tcW w:w="3744" w:type="dxa"/>
            <w:vAlign w:val="center"/>
          </w:tcPr>
          <w:p w14:paraId="46A9E5EC" w14:textId="77777777" w:rsidR="00E726CB" w:rsidRPr="001D11BD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Contraste del DAS con especificaciones, contratos, código y evidencia local de IMP-02. Precisa salud de API, adaptadores experimentales y brechas del ejecutor; conserva la línea base y los pendientes de integración.</w:t>
            </w:r>
          </w:p>
        </w:tc>
        <w:tc>
          <w:tcPr>
            <w:tcW w:w="1908" w:type="dxa"/>
            <w:vAlign w:val="center"/>
          </w:tcPr>
          <w:p w14:paraId="7EE67814" w14:textId="77777777" w:rsidR="00E726CB" w:rsidRPr="001D11BD" w:rsidRDefault="001D11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Revisión técnica documental</w:t>
            </w:r>
          </w:p>
        </w:tc>
      </w:tr>
      <w:tr w:rsidR="00E726CB" w:rsidRPr="001D11BD" w14:paraId="4A76C57B" w14:textId="77777777">
        <w:trPr>
          <w:cantSplit/>
        </w:trPr>
        <w:tc>
          <w:tcPr>
            <w:tcW w:w="2196" w:type="dxa"/>
            <w:vAlign w:val="center"/>
          </w:tcPr>
          <w:p w14:paraId="4897604B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23/10/2026</w:t>
            </w:r>
          </w:p>
        </w:tc>
        <w:tc>
          <w:tcPr>
            <w:tcW w:w="1152" w:type="dxa"/>
            <w:vAlign w:val="center"/>
          </w:tcPr>
          <w:p w14:paraId="7255EDA4" w14:textId="77777777" w:rsidR="00E726CB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1.2</w:t>
            </w:r>
          </w:p>
        </w:tc>
        <w:tc>
          <w:tcPr>
            <w:tcW w:w="3744" w:type="dxa"/>
            <w:vAlign w:val="center"/>
          </w:tcPr>
          <w:p w14:paraId="658AA8F5" w14:textId="77777777" w:rsidR="00E726CB" w:rsidRPr="001D11BD" w:rsidRDefault="00E726C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Actualización a IMP-03: RUN/SUBMIT local, intentos e historial, recuperación, progreso por actividad y 25 tablas físicas. Cobertura local 14/27 (51,9 %).</w:t>
            </w:r>
          </w:p>
        </w:tc>
        <w:tc>
          <w:tcPr>
            <w:tcW w:w="1908" w:type="dxa"/>
            <w:vAlign w:val="center"/>
          </w:tcPr>
          <w:p w14:paraId="1380ACED" w14:textId="77777777" w:rsidR="00E726CB" w:rsidRPr="001D11BD" w:rsidRDefault="001D11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color w:val="000000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Revisión técnica documental</w:t>
            </w:r>
          </w:p>
        </w:tc>
      </w:tr>
    </w:tbl>
    <w:p w14:paraId="238DCEBC" w14:textId="77777777" w:rsidR="00E726CB" w:rsidRDefault="00257DF1">
      <w:pPr>
        <w:pageBreakBefore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r>
        <w:rPr>
          <w:b/>
          <w:color w:val="000080"/>
          <w:sz w:val="28"/>
          <w:szCs w:val="28"/>
        </w:rPr>
        <w:lastRenderedPageBreak/>
        <w:t>Tabla de Contenidos</w:t>
      </w:r>
    </w:p>
    <w:sdt>
      <w:sdtPr>
        <w:rPr>
          <w:rFonts w:ascii="Arial" w:hAnsi="Arial"/>
          <w:b w:val="0"/>
          <w:bCs w:val="0"/>
          <w:caps w:val="0"/>
        </w:rPr>
        <w:id w:val="1025291297"/>
        <w:docPartObj>
          <w:docPartGallery w:val="Table of Contents"/>
          <w:docPartUnique/>
        </w:docPartObj>
      </w:sdtPr>
      <w:sdtEndPr/>
      <w:sdtContent>
        <w:p w14:paraId="0B119E94" w14:textId="62FE8C02" w:rsidR="001E003E" w:rsidRDefault="00257DF1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57000" w:history="1">
            <w:r w:rsidR="001E003E" w:rsidRPr="00776CBD">
              <w:rPr>
                <w:rStyle w:val="Hipervnculo"/>
                <w:noProof/>
              </w:rPr>
              <w:t>1</w:t>
            </w:r>
            <w:r w:rsidR="001E003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1E003E" w:rsidRPr="00776CBD">
              <w:rPr>
                <w:rStyle w:val="Hipervnculo"/>
                <w:noProof/>
              </w:rPr>
              <w:t>Introducción</w:t>
            </w:r>
            <w:r w:rsidR="001E003E">
              <w:rPr>
                <w:noProof/>
                <w:webHidden/>
              </w:rPr>
              <w:tab/>
            </w:r>
            <w:r w:rsidR="001E003E">
              <w:rPr>
                <w:noProof/>
                <w:webHidden/>
              </w:rPr>
              <w:fldChar w:fldCharType="begin"/>
            </w:r>
            <w:r w:rsidR="001E003E">
              <w:rPr>
                <w:noProof/>
                <w:webHidden/>
              </w:rPr>
              <w:instrText xml:space="preserve"> PAGEREF _Toc243657000 \h </w:instrText>
            </w:r>
            <w:r w:rsidR="001E003E">
              <w:rPr>
                <w:noProof/>
                <w:webHidden/>
              </w:rPr>
            </w:r>
            <w:r w:rsidR="001E003E">
              <w:rPr>
                <w:noProof/>
                <w:webHidden/>
              </w:rPr>
              <w:fldChar w:fldCharType="separate"/>
            </w:r>
            <w:r w:rsidR="001E003E">
              <w:rPr>
                <w:noProof/>
                <w:webHidden/>
              </w:rPr>
              <w:t>3</w:t>
            </w:r>
            <w:r w:rsidR="001E003E">
              <w:rPr>
                <w:noProof/>
                <w:webHidden/>
              </w:rPr>
              <w:fldChar w:fldCharType="end"/>
            </w:r>
          </w:hyperlink>
        </w:p>
        <w:p w14:paraId="3DFD5DA5" w14:textId="02099535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1" w:history="1">
            <w:r w:rsidRPr="00776CBD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E6087" w14:textId="5A7E9D7C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2" w:history="1">
            <w:r w:rsidRPr="00776CBD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EFDD" w14:textId="4C4299FD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3" w:history="1">
            <w:r w:rsidRPr="00776CBD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3BC70" w14:textId="3669FF54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4" w:history="1">
            <w:r w:rsidRPr="00776CBD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Definiciones,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0F5A5" w14:textId="769C6E68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5" w:history="1">
            <w:r w:rsidRPr="00776CBD">
              <w:rPr>
                <w:rStyle w:val="Hipervnculo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966D" w14:textId="624AF943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6" w:history="1">
            <w:r w:rsidRPr="00776CBD">
              <w:rPr>
                <w:rStyle w:val="Hipervnculo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3CB7C" w14:textId="26F49F9E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7" w:history="1">
            <w:r w:rsidRPr="00776CBD">
              <w:rPr>
                <w:rStyle w:val="Hipervnculo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1F80" w14:textId="2F554BD3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8" w:history="1">
            <w:r w:rsidRPr="00776CBD">
              <w:rPr>
                <w:rStyle w:val="Hipervnculo"/>
                <w:noProof/>
                <w:lang w:val="es-CL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  <w:lang w:val="es-CL"/>
              </w:rPr>
              <w:t>Metas y 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47F7" w14:textId="26AB6548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09" w:history="1">
            <w:r w:rsidRPr="00776CBD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Metas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C01A" w14:textId="33782AD5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0" w:history="1">
            <w:r w:rsidRPr="00776CBD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521B" w14:textId="12262CBB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1" w:history="1">
            <w:r w:rsidRPr="00776CBD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Otros antecedentes y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0932E" w14:textId="48873B29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2" w:history="1">
            <w:r w:rsidRPr="00776CBD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Vista de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B0D1F" w14:textId="0E8B6D7A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3" w:history="1">
            <w:r w:rsidRPr="00776CBD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4E0E" w14:textId="3AC8BCFE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4" w:history="1">
            <w:r w:rsidRPr="00776CBD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Casos de Usos Extendidos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64939" w14:textId="276F2255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5" w:history="1">
            <w:r w:rsidRPr="00776CBD">
              <w:rPr>
                <w:rStyle w:val="Hipervnculo"/>
                <w:noProof/>
                <w:lang w:val="es-CL"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  <w:lang w:val="es-CL"/>
              </w:rPr>
              <w:t>Especificación de los Escenarios de Calidad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FD40" w14:textId="1E47A936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6" w:history="1">
            <w:r w:rsidRPr="00776CBD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76F86" w14:textId="4DD14E7E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7" w:history="1">
            <w:r w:rsidRPr="00776CBD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110B" w14:textId="7DF4BEB8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8" w:history="1">
            <w:r w:rsidRPr="00776CBD">
              <w:rPr>
                <w:rStyle w:val="Hipervnculo"/>
                <w:noProof/>
                <w:lang w:val="es-CL"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  <w:lang w:val="es-CL"/>
              </w:rPr>
              <w:t>Parte Estructural ( Diagrama de Clases  y Diagrama Relacional)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90AA" w14:textId="572126B1" w:rsidR="001E003E" w:rsidRDefault="001E003E">
          <w:pPr>
            <w:pStyle w:val="TDC3"/>
            <w:tabs>
              <w:tab w:val="left" w:pos="1200"/>
              <w:tab w:val="right" w:leader="dot" w:pos="90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19" w:history="1">
            <w:r w:rsidRPr="00776CBD">
              <w:rPr>
                <w:rStyle w:val="Hipervnculo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Descripción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900B" w14:textId="0BE31632" w:rsidR="001E003E" w:rsidRDefault="001E003E">
          <w:pPr>
            <w:pStyle w:val="TDC3"/>
            <w:tabs>
              <w:tab w:val="left" w:pos="1200"/>
              <w:tab w:val="right" w:leader="dot" w:pos="90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20" w:history="1">
            <w:r w:rsidRPr="00776CBD">
              <w:rPr>
                <w:rStyle w:val="Hipervnculo"/>
                <w:noProof/>
              </w:rPr>
              <w:t>5.1.2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4B802" w14:textId="56516380" w:rsidR="001E003E" w:rsidRDefault="001E003E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21" w:history="1">
            <w:r w:rsidRPr="00776CBD">
              <w:rPr>
                <w:rStyle w:val="Hipervnculo"/>
                <w:noProof/>
                <w:lang w:val="es-CL"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  <w:lang w:val="es-CL"/>
              </w:rPr>
              <w:t>Parte Dinámica (Diagrama de Secuencias)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FF8B" w14:textId="71D60829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22" w:history="1">
            <w:r w:rsidRPr="00776CBD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Vista de Desarrollo o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30AB" w14:textId="2346C2F9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23" w:history="1">
            <w:r w:rsidRPr="00776CBD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Vista Fisica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DA4E" w14:textId="1BF6ED8D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24" w:history="1">
            <w:r w:rsidRPr="00776CBD">
              <w:rPr>
                <w:rStyle w:val="Hipervnculo"/>
                <w:noProof/>
                <w:lang w:val="es-CL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  <w:lang w:val="es-CL"/>
              </w:rPr>
              <w:t>Decisiones de Diseño y Selección de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58F12" w14:textId="13D65A44" w:rsidR="001E003E" w:rsidRDefault="001E003E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657025" w:history="1">
            <w:r w:rsidRPr="00776CBD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CBD">
              <w:rPr>
                <w:rStyle w:val="Hipervnculo"/>
                <w:noProof/>
              </w:rPr>
              <w:t>Análisis de Reutilización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C3040" w14:textId="5BAE69DF" w:rsidR="00E726CB" w:rsidRDefault="00257DF1">
          <w:pPr>
            <w:jc w:val="center"/>
            <w:rPr>
              <w:rFonts w:ascii="Times New Roman" w:eastAsia="Times New Roman" w:hAnsi="Times New Roman" w:cs="Times New Roman"/>
            </w:rPr>
          </w:pPr>
          <w:r>
            <w:fldChar w:fldCharType="end"/>
          </w:r>
        </w:p>
      </w:sdtContent>
    </w:sdt>
    <w:p w14:paraId="6F03DE04" w14:textId="77777777" w:rsidR="00E726CB" w:rsidRDefault="00257DF1">
      <w:pPr>
        <w:pStyle w:val="Ttulo1"/>
        <w:pageBreakBefore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0" w:name="_Toc243657000"/>
      <w:r>
        <w:rPr>
          <w:color w:val="000080"/>
          <w:sz w:val="28"/>
          <w:szCs w:val="28"/>
        </w:rPr>
        <w:lastRenderedPageBreak/>
        <w:t>Introducción</w:t>
      </w:r>
      <w:bookmarkEnd w:id="0"/>
    </w:p>
    <w:p w14:paraId="02692655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" w:name="_Toc243657001"/>
      <w:r>
        <w:rPr>
          <w:color w:val="000080"/>
          <w:sz w:val="24"/>
          <w:szCs w:val="24"/>
        </w:rPr>
        <w:t>Contexto del Problema</w:t>
      </w:r>
      <w:bookmarkEnd w:id="1"/>
    </w:p>
    <w:p w14:paraId="16F04D7E" w14:textId="77777777" w:rsidR="00E726CB" w:rsidRPr="001D11BD" w:rsidRDefault="00E726CB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sz w:val="24"/>
          <w:szCs w:val="24"/>
          <w:lang w:val="es-CL"/>
        </w:rPr>
      </w:pPr>
      <w:r w:rsidRPr="001D11BD">
        <w:rPr>
          <w:color w:val="000000"/>
          <w:sz w:val="23"/>
          <w:szCs w:val="23"/>
          <w:lang w:val="es-CL"/>
        </w:rPr>
        <w:t>Los estudiantes que comienzan Programación I necesitan comprender por qué falla su solución JavaScript y qué paso seguir para mejorar. Un resultado aislado correcto o incorrecto no explica el proceso. El docente, a su vez, debe revisar muchos intentos para reconocer dificultades recurrentes. Alunza propone un flujo web que conserva evidencia técnica, ofrece ayuda contextual sobre material autorizado y presenta progreso y señales reproducibles para apoyar la intervención humana.</w:t>
      </w:r>
    </w:p>
    <w:p w14:paraId="1BD9A09D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2" w:name="_Toc243657002"/>
      <w:r>
        <w:rPr>
          <w:color w:val="000080"/>
          <w:sz w:val="24"/>
          <w:szCs w:val="24"/>
        </w:rPr>
        <w:t>Propósito</w:t>
      </w:r>
      <w:bookmarkEnd w:id="2"/>
    </w:p>
    <w:p w14:paraId="06F3563E" w14:textId="77777777" w:rsidR="00E726CB" w:rsidRPr="001D11BD" w:rsidRDefault="00E726CB">
      <w:pPr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Este Documento de Arquitectura de Sistema describe la línea base técnica de Alunza, las responsabilidades y relaciones de sus componentes, los escenarios que condicionan el diseño y las restricciones de calidad y seguridad. Permite al equipo implementar y verificar los 27 requisitos funcionales Must de la ERS 1.3. Distingue diseño objetivo, implementación local comprobada y validaciones todavía pendientes; no constituye aprobación académica ni acredita una publicación remota.</w:t>
      </w:r>
    </w:p>
    <w:p w14:paraId="40404CA2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3" w:name="_Toc243657003"/>
      <w:r>
        <w:rPr>
          <w:color w:val="000080"/>
          <w:sz w:val="24"/>
          <w:szCs w:val="24"/>
        </w:rPr>
        <w:t>Ámbito</w:t>
      </w:r>
      <w:bookmarkEnd w:id="3"/>
    </w:p>
    <w:p w14:paraId="7DC8C0F5" w14:textId="77777777" w:rsidR="00E726CB" w:rsidRPr="001D11BD" w:rsidRDefault="00E726CB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sz w:val="24"/>
          <w:szCs w:val="24"/>
          <w:lang w:val="es-CL"/>
        </w:rPr>
      </w:pPr>
      <w:r w:rsidRPr="001D11BD">
        <w:rPr>
          <w:color w:val="000000"/>
          <w:sz w:val="23"/>
          <w:szCs w:val="23"/>
          <w:lang w:val="es-CL"/>
        </w:rPr>
        <w:t>El ámbito es una plataforma web institucional para Programación I con JavaScript, con tres roles: administrador de organización, profesor y estudiante. Cubre acceso, clases, ejercicios versionados, actividades, ejecución aislada, intentos, ayuda con fuentes, progreso, seguimiento y gobierno. Quedan fuera LMS completo, aplicación nativa, SSO, pagos, apoderados, detección de plagio/IA, calificación automática de alto impacto y arquitectura multiagente de producto. Organización, curso, clase, actividad y ejercicio tienen responsabilidades distintas y no son términos intercambiables.</w:t>
      </w:r>
    </w:p>
    <w:p w14:paraId="199F7C9B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4" w:name="_Toc243657004"/>
      <w:r>
        <w:rPr>
          <w:color w:val="000080"/>
          <w:sz w:val="24"/>
          <w:szCs w:val="24"/>
        </w:rPr>
        <w:t>Definiciones, acrónimos y abreviaciones</w:t>
      </w:r>
      <w:bookmarkEnd w:id="4"/>
    </w:p>
    <w:tbl>
      <w:tblPr>
        <w:tblStyle w:val="a3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1728"/>
        <w:gridCol w:w="7812"/>
      </w:tblGrid>
      <w:tr w:rsidR="00E726CB" w14:paraId="03D7F021" w14:textId="77777777">
        <w:trPr>
          <w:cantSplit/>
          <w:tblHeader/>
        </w:trPr>
        <w:tc>
          <w:tcPr>
            <w:tcW w:w="1728" w:type="dxa"/>
            <w:shd w:val="clear" w:color="auto" w:fill="E0E0E0"/>
            <w:vAlign w:val="center"/>
          </w:tcPr>
          <w:p w14:paraId="167BF4B1" w14:textId="77777777" w:rsidR="00E726CB" w:rsidRDefault="00257DF1">
            <w:pPr>
              <w:widowControl/>
              <w:spacing w:after="6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1"/>
                <w:szCs w:val="21"/>
              </w:rPr>
              <w:t>ACRÓNIMO</w:t>
            </w:r>
          </w:p>
        </w:tc>
        <w:tc>
          <w:tcPr>
            <w:tcW w:w="7812" w:type="dxa"/>
            <w:shd w:val="clear" w:color="auto" w:fill="E0E0E0"/>
            <w:vAlign w:val="center"/>
          </w:tcPr>
          <w:p w14:paraId="2C66EE7D" w14:textId="77777777" w:rsidR="00E726CB" w:rsidRDefault="00257DF1">
            <w:pPr>
              <w:widowControl/>
              <w:spacing w:after="6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1"/>
                <w:szCs w:val="21"/>
              </w:rPr>
              <w:t>DESCRIPCIÓN</w:t>
            </w:r>
          </w:p>
        </w:tc>
      </w:tr>
      <w:tr w:rsidR="00E726CB" w:rsidRPr="001D11BD" w14:paraId="4E060A73" w14:textId="77777777">
        <w:trPr>
          <w:cantSplit/>
        </w:trPr>
        <w:tc>
          <w:tcPr>
            <w:tcW w:w="1728" w:type="dxa"/>
            <w:vAlign w:val="center"/>
          </w:tcPr>
          <w:p w14:paraId="0E23D6BE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DAS</w:t>
            </w:r>
          </w:p>
        </w:tc>
        <w:tc>
          <w:tcPr>
            <w:tcW w:w="7812" w:type="dxa"/>
            <w:vAlign w:val="center"/>
          </w:tcPr>
          <w:p w14:paraId="0FF1E5B5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Documento de Arquitectura de Sistema</w:t>
            </w:r>
          </w:p>
        </w:tc>
      </w:tr>
      <w:tr w:rsidR="00E726CB" w:rsidRPr="001D11BD" w14:paraId="61F86995" w14:textId="77777777">
        <w:trPr>
          <w:cantSplit/>
        </w:trPr>
        <w:tc>
          <w:tcPr>
            <w:tcW w:w="1728" w:type="dxa"/>
            <w:vAlign w:val="center"/>
          </w:tcPr>
          <w:p w14:paraId="58CBB25F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ERS / RF / RNF</w:t>
            </w:r>
          </w:p>
        </w:tc>
        <w:tc>
          <w:tcPr>
            <w:tcW w:w="7812" w:type="dxa"/>
            <w:vAlign w:val="center"/>
          </w:tcPr>
          <w:p w14:paraId="1986C320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Especificación de requisitos; requisito funcional; requisito no funcional</w:t>
            </w:r>
          </w:p>
        </w:tc>
      </w:tr>
      <w:tr w:rsidR="00E726CB" w:rsidRPr="001D11BD" w14:paraId="4C3AAED4" w14:textId="77777777">
        <w:trPr>
          <w:cantSplit/>
        </w:trPr>
        <w:tc>
          <w:tcPr>
            <w:tcW w:w="1728" w:type="dxa"/>
            <w:vAlign w:val="center"/>
          </w:tcPr>
          <w:p w14:paraId="11F7537F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CU / HU / PT</w:t>
            </w:r>
          </w:p>
        </w:tc>
        <w:tc>
          <w:tcPr>
            <w:tcW w:w="7812" w:type="dxa"/>
            <w:vAlign w:val="center"/>
          </w:tcPr>
          <w:p w14:paraId="584AE4DC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Caso de uso; historia de usuario; protocolo de prueba</w:t>
            </w:r>
          </w:p>
        </w:tc>
      </w:tr>
      <w:tr w:rsidR="00E726CB" w:rsidRPr="001D11BD" w14:paraId="779DB8F1" w14:textId="77777777">
        <w:trPr>
          <w:cantSplit/>
        </w:trPr>
        <w:tc>
          <w:tcPr>
            <w:tcW w:w="1728" w:type="dxa"/>
            <w:vAlign w:val="center"/>
          </w:tcPr>
          <w:p w14:paraId="0251CBDE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API / DTO</w:t>
            </w:r>
          </w:p>
        </w:tc>
        <w:tc>
          <w:tcPr>
            <w:tcW w:w="7812" w:type="dxa"/>
            <w:vAlign w:val="center"/>
          </w:tcPr>
          <w:p w14:paraId="1706B6C1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Interfaz de programación; objeto/esquema de transferencia de datos</w:t>
            </w:r>
          </w:p>
        </w:tc>
      </w:tr>
      <w:tr w:rsidR="00E726CB" w:rsidRPr="001D11BD" w14:paraId="31CD575C" w14:textId="77777777">
        <w:trPr>
          <w:cantSplit/>
        </w:trPr>
        <w:tc>
          <w:tcPr>
            <w:tcW w:w="1728" w:type="dxa"/>
            <w:vAlign w:val="center"/>
          </w:tcPr>
          <w:p w14:paraId="78CCFA8C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JWT / RLS</w:t>
            </w:r>
          </w:p>
        </w:tc>
        <w:tc>
          <w:tcPr>
            <w:tcW w:w="7812" w:type="dxa"/>
            <w:vAlign w:val="center"/>
          </w:tcPr>
          <w:p w14:paraId="6AB4B695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Token firmado de identidad; seguridad de filas en PostgreSQL</w:t>
            </w:r>
          </w:p>
        </w:tc>
      </w:tr>
      <w:tr w:rsidR="00E726CB" w:rsidRPr="001D11BD" w14:paraId="65411643" w14:textId="77777777">
        <w:trPr>
          <w:cantSplit/>
        </w:trPr>
        <w:tc>
          <w:tcPr>
            <w:tcW w:w="1728" w:type="dxa"/>
            <w:vAlign w:val="center"/>
          </w:tcPr>
          <w:p w14:paraId="2D9D271C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RAG / LLM</w:t>
            </w:r>
          </w:p>
        </w:tc>
        <w:tc>
          <w:tcPr>
            <w:tcW w:w="7812" w:type="dxa"/>
            <w:vAlign w:val="center"/>
          </w:tcPr>
          <w:p w14:paraId="00F229FA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Recuperación de fuentes para generación; modelo de lenguaje</w:t>
            </w:r>
          </w:p>
        </w:tc>
      </w:tr>
      <w:tr w:rsidR="00E726CB" w:rsidRPr="001D11BD" w14:paraId="047AD729" w14:textId="77777777">
        <w:trPr>
          <w:cantSplit/>
        </w:trPr>
        <w:tc>
          <w:tcPr>
            <w:tcW w:w="1728" w:type="dxa"/>
            <w:vAlign w:val="center"/>
          </w:tcPr>
          <w:p w14:paraId="0CFFFC42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RUN / SUBMIT</w:t>
            </w:r>
          </w:p>
        </w:tc>
        <w:tc>
          <w:tcPr>
            <w:tcW w:w="7812" w:type="dxa"/>
            <w:vAlign w:val="center"/>
          </w:tcPr>
          <w:p w14:paraId="537D2ED7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Ejecución temporal visible; envío con verificaciones completas y confirmación durable</w:t>
            </w:r>
          </w:p>
        </w:tc>
      </w:tr>
      <w:tr w:rsidR="00E726CB" w:rsidRPr="001D11BD" w14:paraId="1AC1CC7E" w14:textId="77777777">
        <w:trPr>
          <w:cantSplit/>
        </w:trPr>
        <w:tc>
          <w:tcPr>
            <w:tcW w:w="1728" w:type="dxa"/>
            <w:vAlign w:val="center"/>
          </w:tcPr>
          <w:p w14:paraId="779CE654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CI / p95</w:t>
            </w:r>
          </w:p>
        </w:tc>
        <w:tc>
          <w:tcPr>
            <w:tcW w:w="7812" w:type="dxa"/>
            <w:vAlign w:val="center"/>
          </w:tcPr>
          <w:p w14:paraId="593D2BAF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Integración continua; percentil 95 de latencia según perfil declarado</w:t>
            </w:r>
          </w:p>
        </w:tc>
      </w:tr>
      <w:tr w:rsidR="00E726CB" w:rsidRPr="001D11BD" w14:paraId="30738E3C" w14:textId="77777777">
        <w:trPr>
          <w:cantSplit/>
        </w:trPr>
        <w:tc>
          <w:tcPr>
            <w:tcW w:w="1728" w:type="dxa"/>
            <w:vAlign w:val="center"/>
          </w:tcPr>
          <w:p w14:paraId="17CEB12D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AD / DEC / IMP</w:t>
            </w:r>
          </w:p>
        </w:tc>
        <w:tc>
          <w:tcPr>
            <w:tcW w:w="7812" w:type="dxa"/>
            <w:vAlign w:val="center"/>
          </w:tcPr>
          <w:p w14:paraId="6F6FD60C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Decisión arquitectónica; decisión pendiente/concretada; incremento técnico</w:t>
            </w:r>
          </w:p>
        </w:tc>
      </w:tr>
      <w:tr w:rsidR="00E726CB" w:rsidRPr="001D11BD" w14:paraId="22FACA5A" w14:textId="77777777">
        <w:trPr>
          <w:cantSplit/>
        </w:trPr>
        <w:tc>
          <w:tcPr>
            <w:tcW w:w="1728" w:type="dxa"/>
            <w:vAlign w:val="center"/>
          </w:tcPr>
          <w:p w14:paraId="5C2461A5" w14:textId="77777777" w:rsidR="00E726CB" w:rsidRDefault="00E726CB">
            <w:pPr>
              <w:spacing w:after="60" w:line="240" w:lineRule="auto"/>
              <w:rPr>
                <w:rFonts w:ascii="Verdana" w:eastAsia="Verdana" w:hAnsi="Verdana" w:cs="Verdana"/>
                <w:i/>
                <w:sz w:val="18"/>
                <w:szCs w:val="18"/>
              </w:rPr>
            </w:pPr>
            <w:r>
              <w:rPr>
                <w:rFonts w:eastAsia="Verdana" w:cs="Verdana"/>
                <w:i/>
                <w:sz w:val="21"/>
                <w:szCs w:val="21"/>
              </w:rPr>
              <w:t>CAS / lease</w:t>
            </w:r>
          </w:p>
        </w:tc>
        <w:tc>
          <w:tcPr>
            <w:tcW w:w="7812" w:type="dxa"/>
            <w:vAlign w:val="center"/>
          </w:tcPr>
          <w:p w14:paraId="7AC2EC93" w14:textId="77777777" w:rsidR="00E726CB" w:rsidRPr="001D11BD" w:rsidRDefault="00E726CB">
            <w:pPr>
              <w:spacing w:after="60" w:line="240" w:lineRule="auto"/>
              <w:rPr>
                <w:rFonts w:ascii="Verdana" w:eastAsia="Verdana" w:hAnsi="Verdana" w:cs="Verdana"/>
                <w:sz w:val="18"/>
                <w:szCs w:val="18"/>
                <w:lang w:val="es-CL"/>
              </w:rPr>
            </w:pPr>
            <w:r w:rsidRPr="001D11BD">
              <w:rPr>
                <w:rFonts w:eastAsia="Verdana" w:cs="Verdana"/>
                <w:sz w:val="21"/>
                <w:szCs w:val="21"/>
                <w:lang w:val="es-CL"/>
              </w:rPr>
              <w:t>Comparación y cambio con versión esperada; concesión temporal recuperable de trabajo</w:t>
            </w:r>
          </w:p>
        </w:tc>
      </w:tr>
    </w:tbl>
    <w:p w14:paraId="0A31976B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5" w:name="_Toc243657005"/>
      <w:r>
        <w:rPr>
          <w:color w:val="000080"/>
          <w:sz w:val="24"/>
          <w:szCs w:val="24"/>
        </w:rPr>
        <w:lastRenderedPageBreak/>
        <w:t>Referencias</w:t>
      </w:r>
      <w:bookmarkEnd w:id="5"/>
    </w:p>
    <w:p w14:paraId="2B8AAA9B" w14:textId="77777777" w:rsidR="00E726CB" w:rsidRPr="001D11BD" w:rsidRDefault="00257DF1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color w:val="000000"/>
          <w:lang w:val="es-CL"/>
        </w:rPr>
      </w:pPr>
      <w:r>
        <w:rPr>
          <w:color w:val="000000"/>
          <w:sz w:val="23"/>
          <w:szCs w:val="23"/>
          <w:lang w:val="es-CL"/>
        </w:rPr>
        <w:t>Fuentes vigentes: ERS 1.3 y casos de uso CAPSTONE de Fase 1; specs/00-fuentes-y-decisiones.md y specs/05-arquitectura.md para autoridad y diseño; specs/06-modelo-de-datos.md, 07-api-y-contratos.md, 08-ia-y-procesamiento.md, 09-seguridad-y-privacidad.md, 10-calidad-y-pruebas.md, 11-operacion-y-despliegue.md, 13-ejecucion-controlada.md y 14-progreso-y-senales.md. Estado local: docs/work/IMP-03-implementation.md, IMP-03-dictionary.md, IMP-03-trazabilidad.md y evidence/imp-03/README.md; contratos en packages/contracts/src/practice.ts y submissions.ts; cuatro migraciones en supabase/migrations. La evidencia anterior de IMP-01/IMP-02 conserva su fecha y alcance.</w:t>
      </w:r>
    </w:p>
    <w:p w14:paraId="01BFC1C5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6" w:name="_Toc243657006"/>
      <w:r>
        <w:rPr>
          <w:color w:val="000080"/>
          <w:sz w:val="24"/>
          <w:szCs w:val="24"/>
        </w:rPr>
        <w:t>Resumen ejecutivo</w:t>
      </w:r>
      <w:bookmarkEnd w:id="6"/>
      <w:r>
        <w:rPr>
          <w:color w:val="000080"/>
          <w:sz w:val="24"/>
          <w:szCs w:val="24"/>
        </w:rPr>
        <w:t xml:space="preserve"> </w:t>
      </w:r>
    </w:p>
    <w:p w14:paraId="347964A7" w14:textId="77777777" w:rsidR="00E726CB" w:rsidRPr="001D11BD" w:rsidRDefault="00E726CB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sz w:val="24"/>
          <w:szCs w:val="24"/>
          <w:lang w:val="es-CL"/>
        </w:rPr>
      </w:pPr>
      <w:r w:rsidRPr="001D11BD">
        <w:rPr>
          <w:color w:val="000000"/>
          <w:sz w:val="23"/>
          <w:szCs w:val="23"/>
          <w:lang w:val="es-CL"/>
        </w:rPr>
        <w:t>Alunza adopta una arquitectura híbrida: Next.js App Router presenta la experiencia en Vercel; NestJS concentra la única API de dominio en Azure Container Apps; Supabase integra Auth, PostgreSQL, Storage privado, RLS y pgvector. El código del estudiante se ejecuta fuera de la API mediante Vercel Sandbox en el destino productivo y Docker en el entorno local. Azure OpenAI permanece como proveedor inicial configurable para embeddings y generación, conforme a AD-IA-001.</w:t>
      </w:r>
    </w:p>
    <w:p w14:paraId="30173C74" w14:textId="77777777" w:rsidR="00E726CB" w:rsidRPr="001D11BD" w:rsidRDefault="00E726CB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sz w:val="24"/>
          <w:szCs w:val="24"/>
          <w:lang w:val="es-CL"/>
        </w:rPr>
      </w:pPr>
      <w:r w:rsidRPr="001D11BD">
        <w:rPr>
          <w:color w:val="000000"/>
          <w:sz w:val="23"/>
          <w:szCs w:val="23"/>
          <w:lang w:val="es-CL"/>
        </w:rPr>
        <w:t>La regla central es que las verificaciones deterministas establecen el diagnóstico y la completitud. Enviar confirma un intento solo tras guardar código, versión, resultado y eventos. RAG/IA actúa después de esa confirmación y no calcula progreso, señales ni notas. Una caída de IA conserva el resultado técnico. El aislamiento por organización y clase se aplica en API, persistencia, archivos, corpus y trabajos.</w:t>
      </w:r>
    </w:p>
    <w:p w14:paraId="0676FA32" w14:textId="77777777" w:rsidR="00E726CB" w:rsidRPr="001D11BD" w:rsidRDefault="00E726CB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sz w:val="24"/>
          <w:szCs w:val="24"/>
          <w:lang w:val="es-CL"/>
        </w:rPr>
      </w:pPr>
      <w:r>
        <w:rPr>
          <w:color w:val="000000"/>
          <w:sz w:val="23"/>
          <w:szCs w:val="23"/>
          <w:lang w:val="es-CL"/>
        </w:rPr>
        <w:t>Estado revisado al 23/10/2026: IMP-03 acredita 14/27 requisitos probados localmente (51,9 %): RF-001, RF-002, RF-003, RF-004, RF-005, RF-007, RF-008, RF-009, RF-011, RF-014, RF-020, RF-021, RF-022 y RF-023. RF-010, RF-015 y RF-024 permanecen parciales; otros diez RF están pendientes. RF-010 conserva pendiente HU-010-E4 de ayuda real y RF-015 el progreso por concepto. Las integraciones remotas, IA de producto y aceptación académica siguen pendientes.</w:t>
      </w:r>
    </w:p>
    <w:p w14:paraId="1D6911A7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7" w:name="_Toc243657007"/>
      <w:r>
        <w:rPr>
          <w:color w:val="000080"/>
          <w:sz w:val="24"/>
          <w:szCs w:val="24"/>
        </w:rPr>
        <w:t>Representación</w:t>
      </w:r>
      <w:bookmarkEnd w:id="7"/>
    </w:p>
    <w:p w14:paraId="62D70410" w14:textId="77777777" w:rsidR="00E726CB" w:rsidRPr="001D11BD" w:rsidRDefault="00257DF1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La arquitectura de Alunza se representa mediante el enfoque 4+1: escenarios, procesos, lógica, desarrollo y física. Las figuras muestran responsabilidades del diseño objetivo. La descripción distingue lo integrado y probado localmente hasta IMP-03 de materiales, ayuda, progreso por concepto y seguimiento pendientes.</w:t>
      </w:r>
    </w:p>
    <w:p w14:paraId="6DC3D631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Vista de escenarios: relaciona los tres actores de negocio con los 27 casos de uso y selecciona recorridos y atributos de calidad que afectan arquitectura, autorización, persistencia, ejecución y ayuda.</w:t>
      </w:r>
    </w:p>
    <w:p w14:paraId="0CFD03B9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Vista de procesos: explica admisión, ejecución, confirmación durable, recuperación, ayuda e ingestión; muestra sincronización e idempotencia para no confundir un reenvío de red con un intento nuevo.</w:t>
      </w:r>
    </w:p>
    <w:p w14:paraId="618495AA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Vista lógica: separa identidad, gobierno, estructura académica, contenido, actividades, práctica, materiales, ayuda, progreso, señales, auditoría y operación; establece sus puertos, dependencias y relaciones de datos.</w:t>
      </w:r>
    </w:p>
    <w:p w14:paraId="366E8335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 xml:space="preserve">Vista de desarrollo: relaciona componentes lógicos con apps/web, apps/api, packages/contracts, packages/runner, packages/ai, migraciones, pruebas e </w:t>
      </w:r>
      <w:r w:rsidRPr="001D11BD">
        <w:rPr>
          <w:color w:val="000000"/>
          <w:sz w:val="23"/>
          <w:szCs w:val="23"/>
          <w:lang w:val="es-CL"/>
        </w:rPr>
        <w:lastRenderedPageBreak/>
        <w:t>infraestructura. La separación funcional no implica que cada módulo ya tenga una clase NestJS @Module independiente.</w:t>
      </w:r>
    </w:p>
    <w:p w14:paraId="48AC6A09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Vista física: ubica navegador, Vercel, Azure Container Apps, Supabase, Vercel Sandbox y Azure OpenAI en el despliegue objetivo. El entorno local usa Docker y Supabase CLI. La existencia de archivos de configuración no demuestra que el despliegue remoto esté operativo.</w:t>
      </w:r>
    </w:p>
    <w:p w14:paraId="196CB6AF" w14:textId="77777777" w:rsidR="00E726CB" w:rsidRPr="001D11BD" w:rsidRDefault="00257DF1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431" w:hanging="431"/>
        <w:jc w:val="both"/>
        <w:rPr>
          <w:color w:val="000080"/>
          <w:sz w:val="28"/>
          <w:szCs w:val="28"/>
          <w:lang w:val="es-CL"/>
        </w:rPr>
      </w:pPr>
      <w:bookmarkStart w:id="8" w:name="_Toc243657008"/>
      <w:r w:rsidRPr="001D11BD">
        <w:rPr>
          <w:color w:val="000080"/>
          <w:sz w:val="28"/>
          <w:szCs w:val="28"/>
          <w:lang w:val="es-CL"/>
        </w:rPr>
        <w:t>Metas y Restricciones de la Arquitectura</w:t>
      </w:r>
      <w:bookmarkEnd w:id="8"/>
    </w:p>
    <w:p w14:paraId="7AA92220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Las metas se derivan de los RNF de ERS; los resultados observados se declaran por versión y entorno. Un diagrama o una prueba unitaria aislada no acredita cumplimiento global.</w:t>
      </w:r>
    </w:p>
    <w:p w14:paraId="458F1B90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9" w:name="_Toc243657009"/>
      <w:r>
        <w:rPr>
          <w:color w:val="000080"/>
          <w:sz w:val="24"/>
          <w:szCs w:val="24"/>
        </w:rPr>
        <w:t>Metas de la arquitectura</w:t>
      </w:r>
      <w:bookmarkEnd w:id="9"/>
    </w:p>
    <w:p w14:paraId="1E21398F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Conductores arquitectónicos: evidencia durable y reproducible, aislamiento institucional, ejecución segura, degradación independiente de IA, contratos explícitos y operación repetible con presupuesto acotado.</w:t>
      </w:r>
    </w:p>
    <w:p w14:paraId="7BA9D90B" w14:textId="77777777" w:rsidR="00E726CB" w:rsidRPr="001D11BD" w:rsidRDefault="00257DF1">
      <w:pPr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Criterios medibles y controles:</w:t>
      </w:r>
    </w:p>
    <w:p w14:paraId="3DF880BE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Desempeño: pantallas/API p95 &lt;3 s (RNF-REN-01), ejecución completa p95 &lt;5 s (RNF-REN-02) y ayuda IA p95 &lt;12 s (RNF-REN-03). Deben medirse de extremo a extremo, incluyendo colas, aprovisionamiento, limpieza y persistencia, con muestra, región y concurrencia declaradas.</w:t>
      </w:r>
    </w:p>
    <w:p w14:paraId="016FDBB5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Confiabilidad: no confirmar un envío sin persistencia; admitir reenvíos idempotentes y reintentos con identidad nueva; recuperar trabajos mediante lease y deduplicación; conservar el intento cuando IA/RAG falla (RNF-CON-01/03/04).</w:t>
      </w:r>
    </w:p>
    <w:p w14:paraId="3B4C6AB2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Seguridad: JWT verificado, sesión y permisos vigentes, solo ACTIVE; rol runtime sin BYPASSRLS; FK de ámbito y políticas RLS; Storage privado; ninguna prueba oculta, secreto o dato de otra clase en respuestas, logs o contexto IA (RNF-SEG-01–05).</w:t>
      </w:r>
    </w:p>
    <w:p w14:paraId="7DA6147D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Modificabilidad y reuso: monolito modular, contratos compartidos y puertos para ejecutor, archivos, embeddings y generación. El dominio no decide por SDK del proveedor ni el frontend contiene una segunda API de negocio (RNF-MAN-01/02/04).</w:t>
      </w:r>
    </w:p>
    <w:p w14:paraId="676D054E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Operatividad: arranque desde lockfile, migraciones incrementales, seed ficticio repetible, salud, correlación y reportes por candidato. Separar fallas del programa y de infraestructura; restauración y monitoreo remoto requieren validación adicional (RNF-POR-01–03).</w:t>
      </w:r>
    </w:p>
    <w:p w14:paraId="5C7171F4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Usabilidad y accesibilidad: interfaz responsiva; editor orientado a escritorio; teclado, foco, etiquetas, contraste y estados con texto según WCAG 2.2 AA. La revisión parcial de flujos no equivale a una certificación completa (RNF-USA-01–04).</w:t>
      </w:r>
    </w:p>
    <w:p w14:paraId="072D77B5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IA responsable: resultado determinista prevalece; salida estricta de cinco campos y tres estados RAG; corpus autorizado; citas verificables; decisiones pedagógicas humanas (RNF-IA-01–05).</w:t>
      </w:r>
    </w:p>
    <w:p w14:paraId="76561AF7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0" w:name="_Toc243657010"/>
      <w:r>
        <w:rPr>
          <w:color w:val="000080"/>
          <w:sz w:val="24"/>
          <w:szCs w:val="24"/>
        </w:rPr>
        <w:lastRenderedPageBreak/>
        <w:t>Restricciones de la Arquitectura</w:t>
      </w:r>
      <w:bookmarkEnd w:id="10"/>
    </w:p>
    <w:p w14:paraId="6055691E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Las restricciones siguientes proceden de la ERS, el Acta y los contratos de implementación; los aspectos institucionales aún abiertos se conservan como pendientes.</w:t>
      </w:r>
    </w:p>
    <w:p w14:paraId="47AE999C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Tiempo y alcance: tres integrantes, 18 semanas y 540 horas planificadas, período 11/08–17/12/2026. Los 27 RF siguen siendo Must. La línea base fija freeze en semana 15; DEC-011 registra el conflicto de capacidad con S7 sin dar por modificado el calendario.</w:t>
      </w:r>
    </w:p>
    <w:p w14:paraId="1047DD3A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Infraestructura: conservar AD-ARQ-001 y AD-IA-001. No se declara replicación productiva, región elegida ni SLA. Sandbox objetivo: 1 vCPU/2 GB. Proceso estudiantil: 134217728 bytes (128 MiB), 3000 ms acumulados y 65536 bytes (64 KiB) de salida, conforme al ensayo autorizado de DEC-003. Una configuración de heap sola no demuestra memoria total.</w:t>
      </w:r>
    </w:p>
    <w:p w14:paraId="2FFEAE99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Presupuesto y datos: tope directo referencial CLP 265.000 dentro de CLP 4.585.000 totales; no acredita gasto ejecutado. Demo prevista con datos ficticios de 2 organizaciones, 2 administradores, 2 profesores, 8 estudiantes, 3 clases, 10 ejercicios y 6 documentos. Retención, base de tratamiento, residencia, recuperación y reglas de piloto real permanecen pendientes antes de usar datos reales.</w:t>
      </w:r>
    </w:p>
    <w:p w14:paraId="587CE3B8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1" w:name="_Toc243657011"/>
      <w:r>
        <w:rPr>
          <w:color w:val="000080"/>
          <w:sz w:val="24"/>
          <w:szCs w:val="24"/>
        </w:rPr>
        <w:t>Otros antecedentes y consideraciones</w:t>
      </w:r>
      <w:bookmarkEnd w:id="11"/>
    </w:p>
    <w:p w14:paraId="4A38F644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Se aprovechan las herramientas fijadas del workspace y se conserva el lockfile. Versiones observadas en el repositorio principal: Node 24.21.0, npm 11.19.0, Next.js 16.3.4, React 19.3.0, NestJS 12.0.1, TypeScript 5.9.3 y PostgreSQL local 17.6. Son versiones registradas en archivos/evidencia, no una recomendación de actualización.</w:t>
      </w:r>
    </w:p>
    <w:p w14:paraId="064C622D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Next.js, Tailwind y componentes shadcn/ui presentan flujos por rol. NestJS usa controladores y servicios de aplicación; Zod y packages/contracts validan DTO y catálogos públicos. El banco y la proyección estudiantil son contratos separados. La persistencia utiliza consultas parametrizadas, transacciones, revisión/ETag e idempotencia según operación.</w:t>
      </w:r>
    </w:p>
    <w:p w14:paraId="3B5F1929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Supabase Auth emite la sesión. NestJS verifica token y sesión y consulta perfil/membresías actuales. DatabaseService establece actor, sesión y organización con contexto local de transacción para alunza_app. El SDK web actual persiste la sesión en el navegador y la API recibe bearer explícito; no se describe como sesión HttpOnly. Los adaptadores privilegiados de Auth y Storage quedan separados de las escrituras ordinarias.</w:t>
      </w:r>
    </w:p>
    <w:p w14:paraId="4A55184E" w14:textId="77777777" w:rsidR="00E726CB" w:rsidRDefault="00257DF1">
      <w:pPr>
        <w:pStyle w:val="Ttulo1"/>
        <w:pageBreakBefore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12" w:name="_Toc243657012"/>
      <w:r>
        <w:rPr>
          <w:color w:val="000080"/>
          <w:sz w:val="28"/>
          <w:szCs w:val="28"/>
        </w:rPr>
        <w:lastRenderedPageBreak/>
        <w:t>Vista de Escenarios</w:t>
      </w:r>
      <w:bookmarkEnd w:id="12"/>
      <w:r>
        <w:rPr>
          <w:color w:val="000080"/>
          <w:sz w:val="28"/>
          <w:szCs w:val="28"/>
        </w:rPr>
        <w:t xml:space="preserve"> </w:t>
      </w:r>
    </w:p>
    <w:p w14:paraId="3D923D15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Los escenarios cubren la ruta central del MVP y las fronteras que comprometen calidad. El catálogo conserva IDs ALZ-CU-001–027, alineados uno a uno con RF/HU/PT. Su inclusión no supone que todos estén implementados o aceptados.</w:t>
      </w:r>
    </w:p>
    <w:p w14:paraId="2E3E12D1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3" w:name="_Toc243657013"/>
      <w:r>
        <w:rPr>
          <w:color w:val="000080"/>
          <w:sz w:val="24"/>
          <w:szCs w:val="24"/>
        </w:rPr>
        <w:t>Modelo de Casos de Uso</w:t>
      </w:r>
      <w:bookmarkEnd w:id="13"/>
    </w:p>
    <w:p w14:paraId="1E649AA5" w14:textId="77777777" w:rsidR="00E726CB" w:rsidRPr="001D11BD" w:rsidRDefault="00257DF1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El modelo agrupa escenarios por acceso, preparación docente, práctica, seguimiento y gobierno. El ejecutor y Azure OpenAI son servicios colaboradores; no se agregan como roles de aplicación ni reciben autoridad pedagógica.</w:t>
      </w:r>
    </w:p>
    <w:p w14:paraId="148D60B2" w14:textId="77777777" w:rsidR="00E726CB" w:rsidRPr="001D11BD" w:rsidRDefault="00257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  <w:r w:rsidRPr="001D11BD">
        <w:rPr>
          <w:b/>
          <w:color w:val="000000"/>
          <w:sz w:val="22"/>
          <w:szCs w:val="22"/>
          <w:lang w:val="es-CL"/>
        </w:rPr>
        <w:t>Ilustración 1: Casos de uso de Alunza — línea base de 27 CU</w:t>
      </w:r>
    </w:p>
    <w:p w14:paraId="0EC33B59" w14:textId="77777777" w:rsidR="00FA351F" w:rsidRDefault="00773183">
      <w:pPr>
        <w:widowControl/>
        <w:spacing w:after="100" w:line="240" w:lineRule="auto"/>
        <w:jc w:val="center"/>
      </w:pPr>
      <w:r>
        <w:rPr>
          <w:noProof/>
        </w:rPr>
        <w:drawing>
          <wp:inline distT="0" distB="0" distL="0" distR="0" wp14:anchorId="72452858" wp14:editId="6229B193">
            <wp:extent cx="5577840" cy="3904488"/>
            <wp:effectExtent l="0" t="0" r="0" b="0"/>
            <wp:docPr id="2001" name="alunza_das_usecases.png" descr="Ilustración 1: Casos de uso de Alunza — línea base de 27 C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das_usec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7F06" w14:textId="77777777" w:rsidR="00E726CB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4" w:name="_Toc243657014"/>
      <w:r>
        <w:rPr>
          <w:color w:val="000080"/>
          <w:sz w:val="24"/>
          <w:szCs w:val="24"/>
        </w:rPr>
        <w:t>Casos de Usos Extendidos</w:t>
      </w:r>
      <w:bookmarkEnd w:id="14"/>
      <w:r>
        <w:rPr>
          <w:color w:val="000080"/>
          <w:sz w:val="24"/>
          <w:szCs w:val="24"/>
        </w:rPr>
        <w:t xml:space="preserve"> </w:t>
      </w:r>
    </w:p>
    <w:p w14:paraId="10BE0424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Las especificaciones extendidas están en Documento_Casos_de_Uso_Extendidos_Alunza.docx. El catálogo siguiente conserva los 27 identificadores. La prioridad Must corresponde al compromiso de ERS, no a una afirmación de aceptación.</w:t>
      </w:r>
    </w:p>
    <w:p w14:paraId="64B18F66" w14:textId="77777777" w:rsidR="00E726CB" w:rsidRPr="001D11BD" w:rsidRDefault="00257DF1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Recorrido arquitectónicamente crítico: autenticar y autorizar → publicar actividad con versiones fijadas → abrir ejercicio → RUN visible → SUBMIT completo → guardar intento/resultado/eventos → consultar resultado → solicitar ayuda validada → reintentar → reconstruir progreso. Las rutas de señales y revisión completan el diseño objetivo; el motor de señales todavía no está cerrado.</w:t>
      </w:r>
    </w:p>
    <w:p w14:paraId="0AD73059" w14:textId="77777777" w:rsidR="00E726CB" w:rsidRPr="001D11BD" w:rsidRDefault="00257DF1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lastRenderedPageBreak/>
        <w:t>Casos de uso y actores de la línea base:</w:t>
      </w:r>
    </w:p>
    <w:tbl>
      <w:tblPr>
        <w:tblStyle w:val="a4"/>
        <w:tblW w:w="8717" w:type="dxa"/>
        <w:tblInd w:w="0" w:type="dxa"/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1522"/>
        <w:gridCol w:w="3576"/>
        <w:gridCol w:w="2147"/>
        <w:gridCol w:w="1472"/>
      </w:tblGrid>
      <w:tr w:rsidR="00E726CB" w14:paraId="12C492C5" w14:textId="77777777">
        <w:trPr>
          <w:cantSplit/>
          <w:tblHeader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C667635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Código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1D1D215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Nombre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697528CC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Actores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EAB0AA7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Prioridad</w:t>
            </w:r>
          </w:p>
        </w:tc>
      </w:tr>
      <w:tr w:rsidR="00E726CB" w14:paraId="222AF60E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3F4AD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ALZ-CU-001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26C13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Autenticar usuario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CF542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ADMIN, TEACHER y STUDENT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DBB7E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3CD4AA7D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2E487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ALZ-CU-002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9E946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Crear y administrar clase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AF524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F5915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32B24EAE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9D63F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ALZ-CU-003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11ADF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Inscribirse en una clase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4A9F8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D7325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45BC21A3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81295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ALZ-CU-004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1C27C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Gestionar banco de ejercicios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2DEAA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901D2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05EB7FE2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633F5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ALZ-CU-005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8186E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Crear y publicar actividad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142C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0AC31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7A018D8F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95C6D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ALZ-CU-006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FAC3E2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Cargar e indexar material oficial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39866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E5D3F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11E2E55A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A0973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ALZ-CU-007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D5108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Consultar actividades publicadas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E83A8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1A0FF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7D94C50C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855BC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ALZ-CU-008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1EAFF8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Abrir ejercicio y preparar solución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518C4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7FF2D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139C056A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58697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ALZ-CU-009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D33A9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Ejecutar código JavaScript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7AD74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 / ejecutor técnico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A2336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63A59214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88700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ALZ-CU-010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3F7393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Enviar solución y registrar intento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41818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 / ejecutor técnico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12070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7D95E33E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E1FBF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ALZ-CU-011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8CA98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Consultar resultado técnico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511FC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 / ejecutor técnico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3CC67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2AEC0029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3BCE0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ALZ-CU-012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5B391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Solicitar pista progresiva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AAAFE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 / IA-RAG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2BFF3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3D0BED2F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CEEA6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ALZ-CU-013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044704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Generar retroalimentación contextual con fuente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25421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 / IA-RAG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662E5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31D9C182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97056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ALZ-CU-014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73EB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Reintentar ejercicio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EF08A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2C558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6719DFA1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E16B2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ALZ-CU-015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D953B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Consultar progreso personal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6E9B4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STUDENT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47EB4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366AA33D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A4FF5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ALZ-CU-016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E4EDB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Consultar tablero de clase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7FA2E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9843B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20E27788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053A3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ALZ-CU-017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98499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Consultar detalle de estudiante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4D1E3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8D32C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3B7D361E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10517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ALZ-CU-018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11CB9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Revisar señales explicables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BB0B2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A86D7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3FAB174D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91F15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ALZ-CU-019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E48BA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Marcar señal como revisada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CE082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TEACHER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1B26C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5B0644E2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A9C69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ALZ-CU-020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34F5C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Administrar organizaciones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C5F2D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010AB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1E27E90D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8D89E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ALZ-CU-021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F09A7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Administrar usuarios y roles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63AE5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24F06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54140968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2469B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ALZ-CU-022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F7A091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Administrar cursos, clases y asignaciones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D7987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01EDF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227016FF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B9B65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ALZ-CU-023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95267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Administrar taxonomía de conceptos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F1443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D22F5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48DE4D3F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2EF30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ALZ-CU-024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2F1F53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Gobernar banco reutilizable de ejercicios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D198A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DB29C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5330803F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464C3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ALZ-CU-025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E5D9A2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Gobernar materiales para IA/RAG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DAC98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73452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42271838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4C8A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ALZ-CU-026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8196DD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Configurar y versionar reglas de señales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8575F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0BBB8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  <w:tr w:rsidR="00E726CB" w14:paraId="7A7DCE12" w14:textId="77777777">
        <w:trPr>
          <w:cantSplit/>
        </w:trPr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D8E9D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ALZ-CU-027</w:t>
            </w:r>
          </w:p>
        </w:tc>
        <w:tc>
          <w:tcPr>
            <w:tcW w:w="3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8EF016" w14:textId="77777777" w:rsidR="00E726CB" w:rsidRPr="001D11BD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Consultar auditoría y exportar registros operativos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9D4AE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4EF0F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Must</w:t>
            </w:r>
          </w:p>
        </w:tc>
      </w:tr>
    </w:tbl>
    <w:p w14:paraId="47579328" w14:textId="77777777" w:rsidR="00E726CB" w:rsidRPr="001D11BD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  <w:lang w:val="es-CL"/>
        </w:rPr>
      </w:pPr>
      <w:bookmarkStart w:id="15" w:name="_Toc243657015"/>
      <w:r w:rsidRPr="001D11BD">
        <w:rPr>
          <w:color w:val="000080"/>
          <w:sz w:val="24"/>
          <w:szCs w:val="24"/>
          <w:lang w:val="es-CL"/>
        </w:rPr>
        <w:t>Especificación de los Escenarios de Calidad Relevantes</w:t>
      </w:r>
      <w:bookmarkEnd w:id="15"/>
    </w:p>
    <w:p w14:paraId="05B540DF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Se seleccionan tres escenarios de calidad verificables: aislamiento, envío durable con degradación de IA y rendimiento/seguridad de ejecución. No se atribuye una nueva reunión con stakeholders ni una aprobación docente.</w:t>
      </w: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E726CB" w:rsidRPr="001D11BD" w14:paraId="614DB746" w14:textId="77777777">
        <w:trPr>
          <w:cantSplit/>
          <w:tblHeader/>
        </w:trPr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66E9A" w14:textId="77777777" w:rsidR="00E726CB" w:rsidRPr="001D11BD" w:rsidRDefault="00257DF1">
            <w:pPr>
              <w:keepNext/>
              <w:spacing w:after="60" w:line="240" w:lineRule="auto"/>
              <w:rPr>
                <w:rFonts w:ascii="Calibri" w:eastAsia="Calibri" w:hAnsi="Calibri" w:cs="Calibri"/>
                <w:lang w:val="es-CL"/>
              </w:rPr>
            </w:pPr>
            <w:r w:rsidRPr="001D11BD">
              <w:rPr>
                <w:rFonts w:eastAsia="Calibri" w:cs="Calibri"/>
                <w:b/>
                <w:sz w:val="21"/>
                <w:szCs w:val="21"/>
                <w:lang w:val="es-CL"/>
              </w:rPr>
              <w:t>Identificador: EC-SEG-01 · Aislamiento institucional y de clase</w:t>
            </w:r>
          </w:p>
        </w:tc>
      </w:tr>
      <w:tr w:rsidR="00E726CB" w:rsidRPr="001D11BD" w14:paraId="1A409E29" w14:textId="77777777">
        <w:trPr>
          <w:cantSplit/>
        </w:trPr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F482" w14:textId="77777777" w:rsidR="00E726CB" w:rsidRDefault="00257DF1">
            <w:pPr>
              <w:keepNext/>
              <w:spacing w:line="240" w:lineRule="auto"/>
              <w:jc w:val="both"/>
            </w:pPr>
            <w:r>
              <w:t>Escenario(s):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D17A3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Cuenta ACTIVE intenta consultar/modificar un recurso de otra organización o una clase no autorizada, incluso con un UUID válido y JWT anterior a una revocación.</w:t>
            </w:r>
          </w:p>
        </w:tc>
      </w:tr>
      <w:tr w:rsidR="00E726CB" w:rsidRPr="001D11BD" w14:paraId="66150B54" w14:textId="77777777">
        <w:trPr>
          <w:cantSplit/>
        </w:trPr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4B7C" w14:textId="77777777" w:rsidR="00E726CB" w:rsidRDefault="00257DF1">
            <w:pPr>
              <w:keepNext/>
              <w:spacing w:line="240" w:lineRule="auto"/>
              <w:jc w:val="both"/>
            </w:pPr>
            <w:r>
              <w:t>Atributos de Calidad relevantes: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C9D8C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Seguridad y confidencialidad · RNF-SEG-01/05; RF-001/017/020–027.</w:t>
            </w:r>
          </w:p>
        </w:tc>
      </w:tr>
      <w:tr w:rsidR="00E726CB" w:rsidRPr="001D11BD" w14:paraId="7910AA8D" w14:textId="77777777">
        <w:trPr>
          <w:cantSplit/>
        </w:trPr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7EF0" w14:textId="77777777" w:rsidR="00E726CB" w:rsidRDefault="00257DF1">
            <w:pPr>
              <w:keepNext/>
              <w:spacing w:line="240" w:lineRule="auto"/>
              <w:jc w:val="both"/>
            </w:pPr>
            <w:r>
              <w:t>Componentes del Escenario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ACD5" w14:textId="77777777" w:rsidR="00E726CB" w:rsidRDefault="00257DF1">
            <w:pPr>
              <w:keepNext/>
              <w:spacing w:line="240" w:lineRule="auto"/>
              <w:jc w:val="both"/>
            </w:pPr>
            <w:r>
              <w:t>Estímulos: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D3395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Solicitud directa API/SQL/Storage/recuperación con recurso o filtro fuera de ámbito.</w:t>
            </w:r>
          </w:p>
        </w:tc>
      </w:tr>
      <w:tr w:rsidR="00E726CB" w:rsidRPr="001D11BD" w14:paraId="5FB94EC4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D1BF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3CDE" w14:textId="77777777" w:rsidR="00E726CB" w:rsidRDefault="00257DF1">
            <w:pPr>
              <w:keepNext/>
              <w:spacing w:line="240" w:lineRule="auto"/>
              <w:jc w:val="both"/>
            </w:pPr>
            <w:r>
              <w:t>Fuente del estimulo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DD821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Actor autenticado ADMIN, TEACHER o STUDENT, sin permiso actual sobre el recurso.</w:t>
            </w:r>
          </w:p>
        </w:tc>
      </w:tr>
      <w:tr w:rsidR="00E726CB" w:rsidRPr="001D11BD" w14:paraId="5D19CEA6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9ACE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B65D" w14:textId="77777777" w:rsidR="00E726CB" w:rsidRDefault="00257DF1">
            <w:pPr>
              <w:keepNext/>
              <w:spacing w:line="240" w:lineRule="auto"/>
              <w:jc w:val="both"/>
            </w:pPr>
            <w:r>
              <w:t>Ambiente: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AEC59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Operación normal o permiso cambiado; datos ficticios de dos organizaciones y clases distintas.</w:t>
            </w:r>
          </w:p>
        </w:tc>
      </w:tr>
      <w:tr w:rsidR="00E726CB" w:rsidRPr="001D11BD" w14:paraId="18785B63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989C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7E7F" w14:textId="77777777" w:rsidR="00E726CB" w:rsidRDefault="00257DF1">
            <w:pPr>
              <w:keepNext/>
              <w:spacing w:line="240" w:lineRule="auto"/>
              <w:jc w:val="both"/>
            </w:pPr>
            <w:r>
              <w:t>Artefacto: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1C893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AuthGuard, servicio de dominio, rol alunza_app, RLS/FK, Storage y corpus.</w:t>
            </w:r>
          </w:p>
        </w:tc>
      </w:tr>
      <w:tr w:rsidR="00E726CB" w:rsidRPr="001D11BD" w14:paraId="58316E7D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B057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EF79" w14:textId="77777777" w:rsidR="00E726CB" w:rsidRDefault="00257DF1">
            <w:pPr>
              <w:keepNext/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A9DB8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Denegar por defecto sin revelar datos/existencia, sin mutación ni fragmento ajeno; auditar lo permitido.</w:t>
            </w:r>
          </w:p>
        </w:tc>
      </w:tr>
      <w:tr w:rsidR="00E726CB" w14:paraId="0020E818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98A8" w14:textId="77777777" w:rsidR="00E726CB" w:rsidRPr="001D11BD" w:rsidRDefault="00E72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70C5" w14:textId="77777777" w:rsidR="00E726CB" w:rsidRDefault="00257DF1">
            <w:pPr>
              <w:spacing w:line="240" w:lineRule="auto"/>
              <w:jc w:val="both"/>
            </w:pPr>
            <w:r>
              <w:t>Medida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2CA1" w14:textId="77777777" w:rsidR="00E726CB" w:rsidRDefault="00E726CB">
            <w:pPr>
              <w:spacing w:after="60" w:line="240" w:lineRule="auto"/>
            </w:pPr>
            <w:r w:rsidRPr="001D11BD">
              <w:rPr>
                <w:sz w:val="21"/>
                <w:szCs w:val="21"/>
                <w:lang w:val="es-CL"/>
              </w:rPr>
              <w:t xml:space="preserve">Cero lecturas, escrituras, descargas o citas no autorizadas en pruebas positivas/negativas API y persistencia; repetir tras cambio de estado/rol. </w:t>
            </w:r>
            <w:r>
              <w:rPr>
                <w:sz w:val="21"/>
                <w:szCs w:val="21"/>
              </w:rPr>
              <w:t>Evidencia local por incremento; integración remota pendiente.</w:t>
            </w:r>
          </w:p>
        </w:tc>
      </w:tr>
    </w:tbl>
    <w:p w14:paraId="09749EC3" w14:textId="77777777" w:rsidR="00FA351F" w:rsidRDefault="00FA351F">
      <w:pPr>
        <w:pageBreakBefore/>
        <w:widowControl/>
        <w:spacing w:after="20" w:line="240" w:lineRule="auto"/>
      </w:pPr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E726CB" w:rsidRPr="001D11BD" w14:paraId="1BDC3318" w14:textId="77777777">
        <w:trPr>
          <w:cantSplit/>
          <w:tblHeader/>
        </w:trPr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B619A" w14:textId="77777777" w:rsidR="00E726CB" w:rsidRPr="001D11BD" w:rsidRDefault="00257DF1">
            <w:pPr>
              <w:keepNext/>
              <w:spacing w:after="60" w:line="240" w:lineRule="auto"/>
              <w:rPr>
                <w:rFonts w:ascii="Calibri" w:eastAsia="Calibri" w:hAnsi="Calibri" w:cs="Calibri"/>
                <w:lang w:val="es-CL"/>
              </w:rPr>
            </w:pPr>
            <w:r w:rsidRPr="001D11BD">
              <w:rPr>
                <w:rFonts w:eastAsia="Calibri" w:cs="Calibri"/>
                <w:b/>
                <w:sz w:val="21"/>
                <w:szCs w:val="21"/>
                <w:lang w:val="es-CL"/>
              </w:rPr>
              <w:t>Identificador: EC-CON-01 · Envío durable y caída de IA</w:t>
            </w:r>
          </w:p>
        </w:tc>
      </w:tr>
      <w:tr w:rsidR="00E726CB" w:rsidRPr="001D11BD" w14:paraId="06E4EE4D" w14:textId="77777777">
        <w:trPr>
          <w:cantSplit/>
        </w:trPr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E852" w14:textId="77777777" w:rsidR="00E726CB" w:rsidRDefault="00257DF1">
            <w:pPr>
              <w:keepNext/>
              <w:spacing w:line="240" w:lineRule="auto"/>
              <w:jc w:val="both"/>
            </w:pPr>
            <w:r>
              <w:t>Escenario(s):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D925D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Estudiante envía solución; primero falla la confirmación de BD, y en otra variante falla IA después de un intento confirmado. Se pierde también la respuesta HTTP y se repite la clave.</w:t>
            </w:r>
          </w:p>
        </w:tc>
      </w:tr>
      <w:tr w:rsidR="00E726CB" w:rsidRPr="001D11BD" w14:paraId="40F9E5E9" w14:textId="77777777">
        <w:trPr>
          <w:cantSplit/>
        </w:trPr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C4C2" w14:textId="77777777" w:rsidR="00E726CB" w:rsidRDefault="00257DF1">
            <w:pPr>
              <w:keepNext/>
              <w:spacing w:line="240" w:lineRule="auto"/>
              <w:jc w:val="both"/>
            </w:pPr>
            <w:r>
              <w:t>Atributos de Calidad relevantes: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71694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Confiabilidad, integridad y degradación · RNF-CON-01/02/03/04; RF-010/013/014.</w:t>
            </w:r>
          </w:p>
        </w:tc>
      </w:tr>
      <w:tr w:rsidR="00E726CB" w:rsidRPr="001D11BD" w14:paraId="59D0623B" w14:textId="77777777">
        <w:trPr>
          <w:cantSplit/>
        </w:trPr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F3AF" w14:textId="77777777" w:rsidR="00E726CB" w:rsidRDefault="00257DF1">
            <w:pPr>
              <w:keepNext/>
              <w:spacing w:line="240" w:lineRule="auto"/>
              <w:jc w:val="both"/>
            </w:pPr>
            <w:r>
              <w:t>Componentes del Escenario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6AD2" w14:textId="77777777" w:rsidR="00E726CB" w:rsidRDefault="00257DF1">
            <w:pPr>
              <w:keepNext/>
              <w:spacing w:line="240" w:lineRule="auto"/>
              <w:jc w:val="both"/>
            </w:pPr>
            <w:r>
              <w:t>Estímulos: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8E9DB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SUBMIT y petición de ayuda con falla inyectada de persistencia, proveedor o transporte.</w:t>
            </w:r>
          </w:p>
        </w:tc>
      </w:tr>
      <w:tr w:rsidR="00E726CB" w:rsidRPr="001D11BD" w14:paraId="3D0735CB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4BF3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6CF1" w14:textId="77777777" w:rsidR="00E726CB" w:rsidRDefault="00257DF1">
            <w:pPr>
              <w:keepNext/>
              <w:spacing w:line="240" w:lineRule="auto"/>
              <w:jc w:val="both"/>
            </w:pPr>
            <w:r>
              <w:t>Fuente del estimulo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30DD9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Estudiante autorizado; dependencia BD/IA o red interrumpida.</w:t>
            </w:r>
          </w:p>
        </w:tc>
      </w:tr>
      <w:tr w:rsidR="00E726CB" w:rsidRPr="001D11BD" w14:paraId="250358A9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7F3E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946D7" w14:textId="77777777" w:rsidR="00E726CB" w:rsidRDefault="00257DF1">
            <w:pPr>
              <w:keepNext/>
              <w:spacing w:line="240" w:lineRule="auto"/>
              <w:jc w:val="both"/>
            </w:pPr>
            <w:r>
              <w:t>Ambiente: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F6D5D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Actividad PUBLISHED y versión fijada; reloj/dataset de prueba; solicitud identificada.</w:t>
            </w:r>
          </w:p>
        </w:tc>
      </w:tr>
      <w:tr w:rsidR="00E726CB" w14:paraId="67364F3F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1700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190A" w14:textId="77777777" w:rsidR="00E726CB" w:rsidRDefault="00257DF1">
            <w:pPr>
              <w:keepNext/>
              <w:spacing w:line="240" w:lineRule="auto"/>
              <w:jc w:val="both"/>
            </w:pPr>
            <w:r>
              <w:t>Artefacto: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7DC2" w14:textId="77777777" w:rsidR="00E726CB" w:rsidRDefault="00E726CB">
            <w:pPr>
              <w:keepNext/>
              <w:spacing w:after="60" w:line="240" w:lineRule="auto"/>
            </w:pPr>
            <w:r>
              <w:rPr>
                <w:sz w:val="21"/>
                <w:szCs w:val="21"/>
              </w:rPr>
              <w:t>PracticeService y SubmissionService integrados con persistencia, idempotencia y reconciliación. Feedback sigue como componente futuro.</w:t>
            </w:r>
          </w:p>
        </w:tc>
      </w:tr>
      <w:tr w:rsidR="00E726CB" w14:paraId="11BF67F1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0093" w14:textId="77777777" w:rsidR="00E726CB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D554" w14:textId="77777777" w:rsidR="00E726CB" w:rsidRDefault="00257DF1">
            <w:pPr>
              <w:keepNext/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1CDC2" w14:textId="77777777" w:rsidR="00E726CB" w:rsidRDefault="00E726CB">
            <w:pPr>
              <w:keepNext/>
              <w:spacing w:after="60" w:line="240" w:lineRule="auto"/>
            </w:pPr>
            <w:r w:rsidRPr="001D11BD">
              <w:rPr>
                <w:sz w:val="21"/>
                <w:szCs w:val="21"/>
                <w:lang w:val="es-CL"/>
              </w:rPr>
              <w:t xml:space="preserve">Sin confirmación BD: editor conservado, sin llamada IA. Con intento durable: resultado intacto y fallback seguro. </w:t>
            </w:r>
            <w:r>
              <w:rPr>
                <w:sz w:val="21"/>
                <w:szCs w:val="21"/>
              </w:rPr>
              <w:t>Replay recupera el mismo intento; reintento deliberado crea otro.</w:t>
            </w:r>
          </w:p>
        </w:tc>
      </w:tr>
      <w:tr w:rsidR="00E726CB" w14:paraId="71F70EBD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4191" w14:textId="77777777" w:rsidR="00E726CB" w:rsidRDefault="00E72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60A5" w14:textId="77777777" w:rsidR="00E726CB" w:rsidRDefault="00257DF1">
            <w:pPr>
              <w:spacing w:line="240" w:lineRule="auto"/>
              <w:jc w:val="both"/>
            </w:pPr>
            <w:r>
              <w:t>Medida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37547" w14:textId="77777777" w:rsidR="00E726CB" w:rsidRDefault="00E726CB">
            <w:pPr>
              <w:spacing w:after="60" w:line="240" w:lineRule="auto"/>
            </w:pPr>
            <w:r>
              <w:rPr>
                <w:sz w:val="21"/>
                <w:szCs w:val="21"/>
                <w:lang w:val="es-CL"/>
              </w:rPr>
              <w:t>IMP-03 prueba ausencia de confirmaciones falsas, duplicados y sobrescrituras; rollback y recuperación del intento; y avance por actividad desde evidencia confirmada. La secuencia completa guardar → IA, su contrato de cinco campos y degradación con ayuda real permanece pendiente; por ello RF-010 es parcial.</w:t>
            </w:r>
          </w:p>
        </w:tc>
      </w:tr>
    </w:tbl>
    <w:p w14:paraId="2DFD62DF" w14:textId="77777777" w:rsidR="00FA351F" w:rsidRDefault="00FA351F">
      <w:pPr>
        <w:pageBreakBefore/>
        <w:widowControl/>
        <w:spacing w:after="20" w:line="240" w:lineRule="auto"/>
      </w:pPr>
    </w:p>
    <w:tbl>
      <w:tblPr>
        <w:tblStyle w:val="a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E726CB" w:rsidRPr="001D11BD" w14:paraId="201BD403" w14:textId="77777777">
        <w:trPr>
          <w:cantSplit/>
          <w:tblHeader/>
        </w:trPr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6C260" w14:textId="77777777" w:rsidR="00E726CB" w:rsidRPr="001D11BD" w:rsidRDefault="00257DF1">
            <w:pPr>
              <w:keepNext/>
              <w:spacing w:after="60" w:line="240" w:lineRule="auto"/>
              <w:rPr>
                <w:rFonts w:ascii="Calibri" w:eastAsia="Calibri" w:hAnsi="Calibri" w:cs="Calibri"/>
                <w:lang w:val="es-CL"/>
              </w:rPr>
            </w:pPr>
            <w:r w:rsidRPr="001D11BD">
              <w:rPr>
                <w:rFonts w:eastAsia="Calibri" w:cs="Calibri"/>
                <w:b/>
                <w:sz w:val="21"/>
                <w:szCs w:val="21"/>
                <w:lang w:val="es-CL"/>
              </w:rPr>
              <w:t>Identificador: EC-REN-01 · Ejecución limitada con carga declarada</w:t>
            </w:r>
          </w:p>
        </w:tc>
      </w:tr>
      <w:tr w:rsidR="00E726CB" w:rsidRPr="001D11BD" w14:paraId="3067183D" w14:textId="77777777">
        <w:trPr>
          <w:cantSplit/>
        </w:trPr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49BC" w14:textId="77777777" w:rsidR="00E726CB" w:rsidRDefault="00257DF1">
            <w:pPr>
              <w:keepNext/>
              <w:spacing w:line="240" w:lineRule="auto"/>
              <w:jc w:val="both"/>
            </w:pPr>
            <w:r>
              <w:t>Escenario(s):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6988C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>
              <w:rPr>
                <w:sz w:val="21"/>
                <w:szCs w:val="21"/>
                <w:lang w:val="es-CL"/>
              </w:rPr>
              <w:t>RUN/SUBMIT de soluciones correctas y adversariales con creación, ejecución, limpieza y persistencia incluidas. La evidencia local de IMP-03 registra candidato, perfiles de uno y cuatro alumnos concurrentes, muestras y resultados.</w:t>
            </w:r>
          </w:p>
        </w:tc>
      </w:tr>
      <w:tr w:rsidR="00E726CB" w:rsidRPr="001D11BD" w14:paraId="218D9266" w14:textId="77777777">
        <w:trPr>
          <w:cantSplit/>
        </w:trPr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ACC8" w14:textId="77777777" w:rsidR="00E726CB" w:rsidRDefault="00257DF1">
            <w:pPr>
              <w:keepNext/>
              <w:spacing w:line="240" w:lineRule="auto"/>
              <w:jc w:val="both"/>
            </w:pPr>
            <w:r>
              <w:t>Atributos de Calidad relevantes: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65F94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Rendimiento y aislamiento · RNF-REN-02, RNF-SEG-04; RF-009/010/011.</w:t>
            </w:r>
          </w:p>
        </w:tc>
      </w:tr>
      <w:tr w:rsidR="00E726CB" w:rsidRPr="001D11BD" w14:paraId="51DE529E" w14:textId="77777777">
        <w:trPr>
          <w:cantSplit/>
        </w:trPr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2088" w14:textId="77777777" w:rsidR="00E726CB" w:rsidRDefault="00257DF1">
            <w:pPr>
              <w:keepNext/>
              <w:spacing w:line="240" w:lineRule="auto"/>
              <w:jc w:val="both"/>
            </w:pPr>
            <w:r>
              <w:t>Componentes del Escenario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D433" w14:textId="77777777" w:rsidR="00E726CB" w:rsidRDefault="00257DF1">
            <w:pPr>
              <w:keepNext/>
              <w:spacing w:line="240" w:lineRule="auto"/>
              <w:jc w:val="both"/>
            </w:pPr>
            <w:r>
              <w:t>Estímulos: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B9DB7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Bucle infinito, buffers/memoria, salida masiva, acceso a red/archivos, falsificación y carga concurrente.</w:t>
            </w:r>
          </w:p>
        </w:tc>
      </w:tr>
      <w:tr w:rsidR="00E726CB" w:rsidRPr="001D11BD" w14:paraId="52EE6328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48D8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7150" w14:textId="77777777" w:rsidR="00E726CB" w:rsidRDefault="00257DF1">
            <w:pPr>
              <w:keepNext/>
              <w:spacing w:line="240" w:lineRule="auto"/>
              <w:jc w:val="both"/>
            </w:pPr>
            <w:r>
              <w:t>Fuente del estimulo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70B03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Código estudiantil no confiable y solicitudes simultáneas autorizadas.</w:t>
            </w:r>
          </w:p>
        </w:tc>
      </w:tr>
      <w:tr w:rsidR="00E726CB" w:rsidRPr="001D11BD" w14:paraId="00F1DA65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D30B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1AD9" w14:textId="77777777" w:rsidR="00E726CB" w:rsidRDefault="00257DF1">
            <w:pPr>
              <w:keepNext/>
              <w:spacing w:line="240" w:lineRule="auto"/>
              <w:jc w:val="both"/>
            </w:pPr>
            <w:r>
              <w:t>Ambiente: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9C61B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>
              <w:rPr>
                <w:sz w:val="21"/>
                <w:szCs w:val="21"/>
                <w:lang w:val="es-CL"/>
              </w:rPr>
              <w:t>Entorno local/TEST con Docker 29.7.2 Linux, cgroup v2 y PostgreSQL 17.6. Medición integrada RUN/SUBMIT de IMP-03; candidato, datos, imagen, concurrencia y muestra registrados. La validación productiva Sandbox permanece pendiente.</w:t>
            </w:r>
          </w:p>
        </w:tc>
      </w:tr>
      <w:tr w:rsidR="00E726CB" w:rsidRPr="001D11BD" w14:paraId="5FED66A4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0D56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8260" w14:textId="77777777" w:rsidR="00E726CB" w:rsidRDefault="00257DF1">
            <w:pPr>
              <w:keepNext/>
              <w:spacing w:line="240" w:lineRule="auto"/>
              <w:jc w:val="both"/>
            </w:pPr>
            <w:r>
              <w:t>Artefacto: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64B8F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Supervisor/cápsula, puerto de ejecución, canal de control y reconciliación.</w:t>
            </w:r>
          </w:p>
        </w:tc>
      </w:tr>
      <w:tr w:rsidR="00E726CB" w:rsidRPr="001D11BD" w14:paraId="1531B651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9C89" w14:textId="77777777" w:rsidR="00E726CB" w:rsidRPr="001D11BD" w:rsidRDefault="00E726C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1062" w14:textId="77777777" w:rsidR="00E726CB" w:rsidRDefault="00257DF1">
            <w:pPr>
              <w:keepNext/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A468F" w14:textId="77777777" w:rsidR="00E726CB" w:rsidRPr="001D11BD" w:rsidRDefault="00E726CB">
            <w:pPr>
              <w:keepNext/>
              <w:spacing w:after="60" w:line="240" w:lineRule="auto"/>
              <w:rPr>
                <w:lang w:val="es-CL"/>
              </w:rPr>
            </w:pPr>
            <w:r w:rsidRPr="001D11BD">
              <w:rPr>
                <w:sz w:val="21"/>
                <w:szCs w:val="21"/>
                <w:lang w:val="es-CL"/>
              </w:rPr>
              <w:t>Imponer 128 MiB/3000 ms/64 KiB, aislar y destruir; seis diagnósticos exactos con motivos operativos separados; ocultas nunca proyectadas.</w:t>
            </w:r>
          </w:p>
        </w:tc>
      </w:tr>
      <w:tr w:rsidR="00E726CB" w14:paraId="2AB3E232" w14:textId="77777777">
        <w:trPr>
          <w:cantSplit/>
        </w:trPr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F727" w14:textId="77777777" w:rsidR="00E726CB" w:rsidRPr="001D11BD" w:rsidRDefault="00E72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4FB6" w14:textId="77777777" w:rsidR="00E726CB" w:rsidRDefault="00257DF1">
            <w:pPr>
              <w:spacing w:line="240" w:lineRule="auto"/>
              <w:jc w:val="both"/>
            </w:pPr>
            <w:r>
              <w:t>Medida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FC9F6" w14:textId="77777777" w:rsidR="00E726CB" w:rsidRDefault="00E726CB">
            <w:pPr>
              <w:spacing w:after="60" w:line="240" w:lineRule="auto"/>
            </w:pPr>
            <w:r>
              <w:rPr>
                <w:sz w:val="21"/>
                <w:szCs w:val="21"/>
                <w:lang w:val="es-CL"/>
              </w:rPr>
              <w:t>Objetivo de ERS: p95 de ejecución completa &lt;5000 ms. IMP-03 aprueba ambos perfiles de RUN y SUBMIT; SUBMIT con cuatro alumnos alcanza 3502,71 ms. Los 78 casos Docker incluyen autenticidad, límites y limpieza. El puente de confianza conserva privilegios acotados y no se declara enteramente sin privilegios. Falta validación remota de Sandbox.</w:t>
            </w:r>
          </w:p>
        </w:tc>
      </w:tr>
    </w:tbl>
    <w:p w14:paraId="51F96D82" w14:textId="77777777" w:rsidR="00E726CB" w:rsidRDefault="00257DF1">
      <w:pPr>
        <w:pStyle w:val="Ttulo1"/>
        <w:pageBreakBefore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16" w:name="_Toc243657016"/>
      <w:r>
        <w:rPr>
          <w:color w:val="000080"/>
          <w:sz w:val="28"/>
          <w:szCs w:val="28"/>
        </w:rPr>
        <w:lastRenderedPageBreak/>
        <w:t>Vista de Procesos</w:t>
      </w:r>
      <w:bookmarkEnd w:id="16"/>
    </w:p>
    <w:p w14:paraId="68EAE9CB" w14:textId="77777777" w:rsidR="00E726CB" w:rsidRPr="001D11BD" w:rsidRDefault="00E726CB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El flujo de práctica está integrado localmente en IMP-03 y distingue RUN y SUBMIT. RUN ejecuta pruebas visibles y produce evidencia temporal; no confirma un intento ni completa un ejercicio. SUBMIT reautoriza y verifica las pruebas requeridas, visibles y ocultas, y registra un intento. Repetir clave y contenido recupera la misma operación; un reintento deliberado usa clave nueva y conserva la historia.</w:t>
      </w:r>
    </w:p>
    <w:p w14:paraId="1717FB39" w14:textId="77777777" w:rsidR="00E726CB" w:rsidRPr="001D11BD" w:rsidRDefault="00257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  <w:r>
        <w:rPr>
          <w:b/>
          <w:color w:val="000000"/>
          <w:sz w:val="22"/>
          <w:szCs w:val="22"/>
          <w:lang w:val="es-CL"/>
        </w:rPr>
        <w:t>Ilustración 2: Práctica y persistencia local; ayuda como extensión pendiente</w:t>
      </w:r>
    </w:p>
    <w:p w14:paraId="0E0D7175" w14:textId="77777777" w:rsidR="00FA351F" w:rsidRDefault="00773183">
      <w:pPr>
        <w:widowControl/>
        <w:spacing w:after="100" w:line="240" w:lineRule="auto"/>
        <w:jc w:val="center"/>
      </w:pPr>
      <w:r>
        <w:rPr>
          <w:noProof/>
        </w:rPr>
        <w:drawing>
          <wp:inline distT="0" distB="0" distL="0" distR="0" wp14:anchorId="748E4D1C" wp14:editId="12311CEB">
            <wp:extent cx="5120640" cy="3936492"/>
            <wp:effectExtent l="0" t="0" r="0" b="0"/>
            <wp:docPr id="2002" name="alunza_das_activity.png" descr="Ilustración 2: Proceso de práctica, persistencia y ayu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das_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4E60" w14:textId="77777777" w:rsidR="00E726CB" w:rsidRPr="001D11BD" w:rsidRDefault="00E726CB">
      <w:pPr>
        <w:widowControl/>
        <w:spacing w:after="130" w:line="240" w:lineRule="auto"/>
        <w:rPr>
          <w:color w:val="000000"/>
          <w:lang w:val="es-CL"/>
        </w:rPr>
      </w:pPr>
      <w:r>
        <w:rPr>
          <w:color w:val="000000"/>
          <w:sz w:val="23"/>
          <w:szCs w:val="23"/>
          <w:lang w:val="es-CL"/>
        </w:rPr>
        <w:t>Admisión y cierre de actividad comparten el bloqueo institucional. Una operación admitida en PUBLISHED y dentro de ventana puede terminar después de CLOSED; las admisiones posteriores se rechazan. La ejecución ocurre fuera de la API y sin una transacción abierta. La reserva guarda evidencia normalizada; finish_practice_submit confirma código, versión, resultado privado, dos eventos y respuesta idempotente en una transacción. Si falla el commit, la recuperación utiliza esa evidencia sin ejecutar nuevamente el código. Las consultas y la entrega del resultado revalidan los permisos vigentes.</w:t>
      </w:r>
    </w:p>
    <w:p w14:paraId="36B98D8B" w14:textId="77777777" w:rsidR="00E726CB" w:rsidRPr="001D11BD" w:rsidRDefault="00E726CB">
      <w:pPr>
        <w:widowControl/>
        <w:spacing w:after="130" w:line="240" w:lineRule="auto"/>
        <w:rPr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La ayuda prevista parte de un intento confirmado y obtiene evidencias desde persistencia. Recupera hasta cinco fragmentos autorizados; solo genera cuando existe sustento válido. Valida diagnóstico, referencias y esquema antes de persistir y mostrar. Ausencia de fuente produce NO_EVIDENCE; timeout, salida inválida o servicio caído produce PROVIDER_UNAVAILABLE. Ninguna de esas respuestas modifica la completitud.</w:t>
      </w:r>
    </w:p>
    <w:p w14:paraId="0777F114" w14:textId="77777777" w:rsidR="00E726CB" w:rsidRPr="001D11BD" w:rsidRDefault="00E726CB">
      <w:pPr>
        <w:widowControl/>
        <w:spacing w:after="130" w:line="240" w:lineRule="auto"/>
        <w:rPr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 xml:space="preserve">El proceso objetivo de ingestión docente, pendiente de implementación de producto, es independiente del envío de intentos: autorizar carga → almacenar en bucket privado → </w:t>
      </w:r>
      <w:r w:rsidRPr="001D11BD">
        <w:rPr>
          <w:color w:val="000000"/>
          <w:sz w:val="23"/>
          <w:szCs w:val="23"/>
          <w:lang w:val="es-CL"/>
        </w:rPr>
        <w:lastRenderedPageBreak/>
        <w:t>confirmar metadatos/trabajo durable → extraer texto → fragmentar 500 tokens con 50 de solapamiento → embeddings → publicar generación completa atómicamente. Acepta PDF textual, TXT y Markdown de hasta 10 MB; rechaza PDF sin texto útil, sin OCR. Worker con lease, reintentos acotados y reautorización evita índices parciales o reactivación tras archivo.</w:t>
      </w:r>
    </w:p>
    <w:p w14:paraId="1F684F1B" w14:textId="77777777" w:rsidR="00E726CB" w:rsidRDefault="00257DF1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17" w:name="_Toc243657017"/>
      <w:r>
        <w:rPr>
          <w:color w:val="000080"/>
          <w:sz w:val="28"/>
          <w:szCs w:val="28"/>
        </w:rPr>
        <w:t>Vista Lógica</w:t>
      </w:r>
      <w:bookmarkEnd w:id="17"/>
    </w:p>
    <w:p w14:paraId="7FAF732E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La parte estructural presenta servicios, entidades y relaciones; la dinámica muestra el orden de admisión, verificación y confirmación. La tabla de servicios diferencia nombres reales del código de responsabilidades futuras. El diagrama relacional resume el núcleo y no sustituye al Diccionario de Datos.</w:t>
      </w:r>
    </w:p>
    <w:p w14:paraId="08E2AAA5" w14:textId="77777777" w:rsidR="00E726CB" w:rsidRPr="001D11BD" w:rsidRDefault="00257DF1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  <w:lang w:val="es-CL"/>
        </w:rPr>
      </w:pPr>
      <w:bookmarkStart w:id="18" w:name="_Toc243657018"/>
      <w:r w:rsidRPr="001D11BD">
        <w:rPr>
          <w:color w:val="000080"/>
          <w:sz w:val="24"/>
          <w:szCs w:val="24"/>
          <w:lang w:val="es-CL"/>
        </w:rPr>
        <w:t>Parte Estructural ( Diagrama de Clases  y Diagrama Relacional)</w:t>
      </w:r>
      <w:bookmarkEnd w:id="18"/>
    </w:p>
    <w:p w14:paraId="7AB92406" w14:textId="77777777" w:rsidR="00E726CB" w:rsidRPr="001D11BD" w:rsidRDefault="00E726CB">
      <w:pPr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lang w:val="es-CL"/>
        </w:rPr>
      </w:pPr>
      <w:r>
        <w:rPr>
          <w:color w:val="000000"/>
          <w:sz w:val="23"/>
          <w:szCs w:val="23"/>
          <w:lang w:val="es-CL"/>
        </w:rPr>
        <w:t>La arquitectura implementa un monolito modular con puertos de infraestructura. AppModule registra identidad, gobierno, servicios académicos, PracticeService y SubmissionService, repositorios, adaptadores Docker y reconciliadores. Materials, Feedback, progreso por concepto y Signals siguen como responsabilidades pendientes. packages/domain es una ubicación propuesta; no se atribuye su existencia al árbol actual.</w:t>
      </w:r>
    </w:p>
    <w:p w14:paraId="2BA80134" w14:textId="77777777" w:rsidR="00E726CB" w:rsidRDefault="00257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  <w:sz w:val="22"/>
          <w:szCs w:val="22"/>
        </w:rPr>
        <w:t>Ilustración 3: Servicios lógicos y puertos</w:t>
      </w:r>
    </w:p>
    <w:p w14:paraId="6742E7A7" w14:textId="77777777" w:rsidR="00FA351F" w:rsidRDefault="00773183">
      <w:pPr>
        <w:widowControl/>
        <w:spacing w:after="100" w:line="240" w:lineRule="auto"/>
        <w:jc w:val="center"/>
      </w:pPr>
      <w:r>
        <w:rPr>
          <w:noProof/>
        </w:rPr>
        <w:drawing>
          <wp:inline distT="0" distB="0" distL="0" distR="0" wp14:anchorId="012F0CA9" wp14:editId="05056619">
            <wp:extent cx="5577840" cy="3590734"/>
            <wp:effectExtent l="0" t="0" r="0" b="0"/>
            <wp:docPr id="2003" name="alunza_das_classes.png" descr="Ilustración 3: Servicios lógicos y puert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das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E19D" w14:textId="77777777" w:rsidR="00E726CB" w:rsidRPr="001D11BD" w:rsidRDefault="00E726CB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Las asociaciones de la figura expresan responsabilidades: Practice usa ExecutionPort y SubmissionExecutionPort; la consulta de progreso por actividad deriva de intentos confirmados. Materials, Feedback y Signals son componentes futuros: usarán fuentes autorizadas, evidencia persistida y reglas deterministas; no dependerán del LLM para calcular completitud.</w:t>
      </w:r>
    </w:p>
    <w:p w14:paraId="6B8505BF" w14:textId="77777777" w:rsidR="00E726CB" w:rsidRDefault="00E726CB">
      <w:r>
        <w:rPr>
          <w:color w:val="000000"/>
          <w:sz w:val="23"/>
          <w:szCs w:val="23"/>
        </w:rPr>
        <w:t xml:space="preserve">Catálogos invariables: diagnósticos SUCCESS, SYNTAX_ERROR, RUNTIME_ERROR, </w:t>
      </w:r>
      <w:r>
        <w:rPr>
          <w:color w:val="000000"/>
          <w:sz w:val="23"/>
          <w:szCs w:val="23"/>
        </w:rPr>
        <w:lastRenderedPageBreak/>
        <w:t xml:space="preserve">FAILED_TEST, TIMEOUT, UNKNOWN; RAG SUPPORTED, NO_EVIDENCE, PROVIDER_UNAVAILABLE; actividad DRAFT, PUBLISHED, CLOSED; señal ACTIVE, REVIEWED. </w:t>
      </w:r>
      <w:r w:rsidRPr="001D11BD">
        <w:rPr>
          <w:color w:val="000000"/>
          <w:sz w:val="23"/>
          <w:szCs w:val="23"/>
          <w:lang w:val="es-CL"/>
        </w:rPr>
        <w:t xml:space="preserve">La salida RAG contiene exclusivamente diagnosis_code, explanation, hint, source_refs y status. </w:t>
      </w:r>
      <w:r>
        <w:rPr>
          <w:color w:val="000000"/>
          <w:sz w:val="23"/>
          <w:szCs w:val="23"/>
        </w:rPr>
        <w:t>Motivos operativos no crean diagnósticos nuevos ni score.</w:t>
      </w:r>
    </w:p>
    <w:p w14:paraId="693A55B0" w14:textId="77777777" w:rsidR="00E726CB" w:rsidRDefault="00257DF1">
      <w:pPr>
        <w:pStyle w:val="Ttulo3"/>
        <w:numPr>
          <w:ilvl w:val="2"/>
          <w:numId w:val="5"/>
        </w:numPr>
      </w:pPr>
      <w:bookmarkStart w:id="19" w:name="_Toc243657019"/>
      <w:r>
        <w:t>Descripción de Clases</w:t>
      </w:r>
      <w:bookmarkEnd w:id="19"/>
    </w:p>
    <w:tbl>
      <w:tblPr>
        <w:tblStyle w:val="a8"/>
        <w:tblW w:w="9206" w:type="dxa"/>
        <w:tblInd w:w="0" w:type="dxa"/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E726CB" w14:paraId="472EB53F" w14:textId="77777777">
        <w:trPr>
          <w:cantSplit/>
          <w:tblHeader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DF630F4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68C0EFAF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CB7EDE8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Descripción</w:t>
            </w:r>
          </w:p>
        </w:tc>
      </w:tr>
      <w:tr w:rsidR="00E726CB" w:rsidRPr="001D11BD" w14:paraId="3ED03FC8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EC152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F4DFF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AppModule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403223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Implementado: composición de servicios institucionales, académicos y práctica local con adaptadores y reconciliadores.</w:t>
            </w:r>
          </w:p>
        </w:tc>
      </w:tr>
      <w:tr w:rsidR="00E726CB" w:rsidRPr="001D11BD" w14:paraId="26A2A5FA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2BB80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40566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JwtVerifier / AuthGuard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3FE0DF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verifica JWT, sesión y estado vigente antes de acceso protegido.</w:t>
            </w:r>
          </w:p>
        </w:tc>
      </w:tr>
      <w:tr w:rsidR="00E726CB" w:rsidRPr="001D11BD" w14:paraId="771D3948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C62EE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03226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IdentityRepository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4B76E6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perfil propio y pertenencias institucionales vigentes.</w:t>
            </w:r>
          </w:p>
        </w:tc>
      </w:tr>
      <w:tr w:rsidR="00E726CB" w:rsidRPr="001D11BD" w14:paraId="10DB69F5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2B765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68CDB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DatabaseService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A7B519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consultas parametrizadas y contexto actor/sesión/organización por transacción.</w:t>
            </w:r>
          </w:p>
        </w:tc>
      </w:tr>
      <w:tr w:rsidR="00E726CB" w:rsidRPr="001D11BD" w14:paraId="028AB557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7CA8B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61E7C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GovernanceService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056899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organización, miembros, roles, archivo autorizado y auditoría atómica.</w:t>
            </w:r>
          </w:p>
        </w:tc>
      </w:tr>
      <w:tr w:rsidR="00E726CB" w:rsidRPr="001D11BD" w14:paraId="57505315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5B728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46113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InvitationService / InvitationWorker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0F7034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invitación y entrega durable con lease, autorización y reconciliación.</w:t>
            </w:r>
          </w:p>
        </w:tc>
      </w:tr>
      <w:tr w:rsidR="00E726CB" w:rsidRPr="001D11BD" w14:paraId="260E3640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901E7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ED091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AcademicService / AcademicAccess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8316CB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cursos, clases, asignación, códigos e inscripción autorizada.</w:t>
            </w:r>
          </w:p>
        </w:tc>
      </w:tr>
      <w:tr w:rsidR="00E726CB" w:rsidRPr="001D11BD" w14:paraId="211516A1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43FA3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E1BB1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ContentService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D3F970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conceptos y versiones del banco con proyecciones por rol.</w:t>
            </w:r>
          </w:p>
        </w:tc>
      </w:tr>
      <w:tr w:rsidR="00E726CB" w:rsidRPr="001D11BD" w14:paraId="2BD9BC7C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11E94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2EBA2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ActivitiesService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A966CF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Implementado: publicación con versiones fijadas, ventanas y cierre; admisión y cierre concurrentes probados en IMP-03.</w:t>
            </w:r>
          </w:p>
        </w:tc>
      </w:tr>
      <w:tr w:rsidR="00E726CB" w:rsidRPr="001D11BD" w14:paraId="6ABCB2C0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0BE1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2A029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HealthController / LivenessService / DatabaseService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B1A966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Implementado: /health/live informa que el proceso responde; /health/ready verifica conexión, rol limitado y consultas sobre el esquema institucional. No comprueba disponibilidad de IA ni Sandbox.</w:t>
            </w:r>
          </w:p>
        </w:tc>
      </w:tr>
      <w:tr w:rsidR="00E726CB" w:rsidRPr="001D11BD" w14:paraId="58B9EAEC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2263F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61CA0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CapsuleAdapter / DockerAdapter / VercelAdapter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8F68F2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packages/runner: supervisor QuickJS/WASM y Docker integrado con la práctica local; 78 casos de aislamiento, límites, falsificación y limpieza aprobados. VercelAdapter conserva pendiente validación remota; el puente de confianza mantiene privilegios acotados.</w:t>
            </w:r>
          </w:p>
        </w:tc>
      </w:tr>
      <w:tr w:rsidR="00E726CB" w:rsidRPr="001D11BD" w14:paraId="55895477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7645D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CL-012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62F8D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AzureAiAdapter / PgvectorAssayRepository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F21E83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Ensayo en packages/ai: AzureAiAdapter implementa EmbeddingsPort y GenerationPort; PgvectorAssayRepository implementa RetrievalPort en TEST. La comprobación local usa vectores sintéticos; no existen rutas de ayuda de producto ni ejecución Azure remota acreditada.</w:t>
            </w:r>
          </w:p>
        </w:tc>
      </w:tr>
      <w:tr w:rsidR="00E726CB" w:rsidRPr="001D11BD" w14:paraId="75BE90AA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7A410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1CB32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Contratos públicos (Zod/OpenAPI)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11DFAC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Implementado: esquemas Zod/OpenAPI de identidad, contenido, RUN, SUBMIT, intentos, historial y progreso por actividad. La proyección pública excluye detalle de pruebas ocultas. El contrato RAG pertenece al alcance aún pendiente de producto.</w:t>
            </w:r>
          </w:p>
        </w:tc>
      </w:tr>
      <w:tr w:rsidR="00E726CB" w:rsidRPr="001D11BD" w14:paraId="4C62F978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C0B90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87115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PracticeService / SubmissionService / puertos de ejecución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B1219A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Implementado localmente: admisión, RUN, SUBMIT, resultados deterministas, historial y recuperación con lease. PracticeRepository y SubmissionRepository aplican funciones de persistencia y autorización.</w:t>
            </w:r>
          </w:p>
        </w:tc>
      </w:tr>
      <w:tr w:rsidR="00E726CB" w:rsidRPr="001D11BD" w14:paraId="7251C01E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09595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B55C4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Materials / StoragePort / EmbeddingPort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A14145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Diseño objetivo: fuentes autorizadas, extracción, fragmentación, indexación y recuperación filtrada. Pendiente.</w:t>
            </w:r>
          </w:p>
        </w:tc>
      </w:tr>
      <w:tr w:rsidR="00E726CB" w:rsidRPr="001D11BD" w14:paraId="68E7C8FD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4426C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8F644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Feedback / GenerationPort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079B91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Diseño objetivo: explicación y pistas posteriores a un intento confirmado, con salida/citas validadas y fallback. Pendiente.</w:t>
            </w:r>
          </w:p>
        </w:tc>
      </w:tr>
      <w:tr w:rsidR="00E726CB" w:rsidRPr="001D11BD" w14:paraId="7A4558D6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167E6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FC363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Progress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B8E566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Parcial: completados/requeridos por actividad calculados desde intentos propios, con estados de evidencia y consulta posterior al cierre. Progreso por concepto pendiente; RF-015 no está completo.</w:t>
            </w:r>
          </w:p>
        </w:tc>
      </w:tr>
      <w:tr w:rsidR="00E726CB" w:rsidRPr="001D11BD" w14:paraId="74467601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6E015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35C97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Signals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7E7475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Diseño objetivo: tres reglas, evidencia/versiones y revisión docente; pendiente de DEC-005 e implementación.</w:t>
            </w:r>
          </w:p>
        </w:tc>
      </w:tr>
      <w:tr w:rsidR="00E726CB" w:rsidRPr="001D11BD" w14:paraId="7FFDFE19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2A0BD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CL-019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14D3C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Audit / Operations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0E4F1E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Responsabilidades de diseño: trazabilidad administrativa, exportación, trabajos, métricas y operación. Gobierno básico y salud integrados; alcance restante pendiente.</w:t>
            </w:r>
          </w:p>
        </w:tc>
      </w:tr>
    </w:tbl>
    <w:p w14:paraId="4E09FADE" w14:textId="77777777" w:rsidR="00E726CB" w:rsidRPr="001D11BD" w:rsidRDefault="00257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  <w:r>
        <w:rPr>
          <w:b/>
          <w:color w:val="000000"/>
          <w:sz w:val="22"/>
          <w:szCs w:val="22"/>
          <w:lang w:val="es-CL"/>
        </w:rPr>
        <w:lastRenderedPageBreak/>
        <w:t>Ilustración 4: Relaciones conceptuales del modelo de datos</w:t>
      </w:r>
    </w:p>
    <w:p w14:paraId="6FEA052A" w14:textId="77777777" w:rsidR="00FA351F" w:rsidRDefault="00773183">
      <w:pPr>
        <w:widowControl/>
        <w:spacing w:after="100" w:line="240" w:lineRule="auto"/>
        <w:jc w:val="center"/>
      </w:pPr>
      <w:r>
        <w:rPr>
          <w:noProof/>
        </w:rPr>
        <w:drawing>
          <wp:inline distT="0" distB="0" distL="0" distR="0" wp14:anchorId="3B2A7120" wp14:editId="6642A5C2">
            <wp:extent cx="5577840" cy="3939350"/>
            <wp:effectExtent l="0" t="0" r="0" b="0"/>
            <wp:docPr id="2004" name="alunza_das_relational.png" descr="Ilustración 4: Relaciones del núcleo de dat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das_rela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1962" w14:textId="77777777" w:rsidR="00E726CB" w:rsidRPr="001D11BD" w:rsidRDefault="00E726CB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Las cuatro migraciones del repositorio contienen 25 tablas físicas y 292 atributos. IMP-03 añade app.executions, app.attempts y las tablas privadas submission_reservations, attempt_results y attempt_events. El esquema privado también conserva exercise_tests; las pruebas ocultas se excluyen de las respuestas públicas. Materiales, ayuda y seguimiento permanecen como modelo lógico pendiente. El MER Oracle histórico es antecedente y no sustituye al DDL PostgreSQL.</w:t>
      </w:r>
    </w:p>
    <w:p w14:paraId="2D3BD1FE" w14:textId="77777777" w:rsidR="00E726CB" w:rsidRPr="001D11BD" w:rsidRDefault="00E726CB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Integridad: UUID como identidad, timestamptz UTC y date para fechas académicas; FK compuestas por organización, autor, asignación y versión según relación; intentos, resultados privados y eventos inmutables. Publicar fija versión, orden y obligatoriedad. Apertura inclusiva y cierre exclusivo; CLOSED rechaza nuevas resoluciones y conserva la evidencia propia autorizada. Las referencias impiden eliminación que rompa integridad mediante RESTRICT o NO ACTION según el DDL.</w:t>
      </w:r>
    </w:p>
    <w:p w14:paraId="6AF3CDD2" w14:textId="77777777" w:rsidR="00E726CB" w:rsidRDefault="00257DF1">
      <w:pPr>
        <w:pStyle w:val="Ttulo3"/>
        <w:numPr>
          <w:ilvl w:val="2"/>
          <w:numId w:val="5"/>
        </w:numPr>
      </w:pPr>
      <w:bookmarkStart w:id="20" w:name="_Toc243657020"/>
      <w:r>
        <w:t>Descripción de Tablas</w:t>
      </w:r>
      <w:bookmarkEnd w:id="20"/>
    </w:p>
    <w:tbl>
      <w:tblPr>
        <w:tblStyle w:val="a9"/>
        <w:tblW w:w="9206" w:type="dxa"/>
        <w:tblInd w:w="0" w:type="dxa"/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E726CB" w14:paraId="5DB81A8C" w14:textId="77777777">
        <w:trPr>
          <w:cantSplit/>
          <w:tblHeader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62BD53F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A09159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CF4FDC3" w14:textId="77777777" w:rsidR="00E726CB" w:rsidRDefault="00257DF1">
            <w:pPr>
              <w:widowControl/>
              <w:spacing w:after="60" w:line="240" w:lineRule="auto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21"/>
                <w:szCs w:val="21"/>
              </w:rPr>
              <w:t>Descripción</w:t>
            </w:r>
          </w:p>
        </w:tc>
      </w:tr>
      <w:tr w:rsidR="00E726CB" w:rsidRPr="001D11BD" w14:paraId="74B875B8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DF5EA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3FE95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app.organizations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E69394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Ámbito institucional, código único, revisión y archivo lógico.</w:t>
            </w:r>
          </w:p>
        </w:tc>
      </w:tr>
      <w:tr w:rsidR="00E726CB" w:rsidRPr="001D11BD" w14:paraId="2C3D4E30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8915B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121F4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app.profiles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461FC2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Identidad global enlazada a Auth, estado y correo normalizado; sin contraseña.</w:t>
            </w:r>
          </w:p>
        </w:tc>
      </w:tr>
      <w:tr w:rsidR="00E726CB" w:rsidRPr="001D11BD" w14:paraId="31CC22DB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ED52D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8EEB6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app.organization_memberships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EA83B9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Un rol/estado por identidad y organización; autorización vigente.</w:t>
            </w:r>
          </w:p>
        </w:tc>
      </w:tr>
      <w:tr w:rsidR="00E726CB" w:rsidRPr="001D11BD" w14:paraId="581F92F1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61EC71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TB-004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B8B6C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app.provisioning_grants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495A72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Permiso técnico revocable de un uso para creación institucional atómica.</w:t>
            </w:r>
          </w:p>
        </w:tc>
      </w:tr>
      <w:tr w:rsidR="00E726CB" w:rsidRPr="001D11BD" w14:paraId="3AA76C49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5504F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AD24C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app.organization_invitations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695324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Destinatario/rol, digest, generación, vigencia y aceptación autorizada.</w:t>
            </w:r>
          </w:p>
        </w:tc>
      </w:tr>
      <w:tr w:rsidR="00E726CB" w:rsidRPr="001D11BD" w14:paraId="4B4792EB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F20F0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383A1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app.invitation_deliveries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19726C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Trabajo durable de entrega, lease, reintentos y resultado incierto.</w:t>
            </w:r>
          </w:p>
        </w:tc>
      </w:tr>
      <w:tr w:rsidR="00E726CB" w:rsidRPr="001D11BD" w14:paraId="09DB721C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DC1A9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F5B95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app.operation_keys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D37925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Clave/fingerprint y respuesta de operación idempotente por actor/ámbito.</w:t>
            </w:r>
          </w:p>
        </w:tc>
      </w:tr>
      <w:tr w:rsidR="00E726CB" w:rsidRPr="001D11BD" w14:paraId="568782D2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B564B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E520A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app.audit_events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21DF7C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Actor, fecha, acción y entidad; evidencia operativa sin cargas pedagógicas completas.</w:t>
            </w:r>
          </w:p>
        </w:tc>
      </w:tr>
      <w:tr w:rsidR="00E726CB" w:rsidRPr="001D11BD" w14:paraId="1398BF6B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B285E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C80A6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app.courses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439ADC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Definición curricular por organización y fechas académicas date.</w:t>
            </w:r>
          </w:p>
        </w:tc>
      </w:tr>
      <w:tr w:rsidR="00E726CB" w:rsidRPr="001D11BD" w14:paraId="383ECA7F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F4290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D63A52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app.classes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883AA6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Instancia de curso con docente activo, código y archivo.</w:t>
            </w:r>
          </w:p>
        </w:tc>
      </w:tr>
      <w:tr w:rsidR="00E726CB" w:rsidRPr="001D11BD" w14:paraId="4D0959C9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EB3BF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680D5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app.class_memberships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D43BDD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Inscripción única clase/usuario, estado y fecha de incorporación.</w:t>
            </w:r>
          </w:p>
        </w:tc>
      </w:tr>
      <w:tr w:rsidR="00E726CB" w:rsidRPr="001D11BD" w14:paraId="25AC8004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C65F5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438476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app.class_join_codes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3D7B35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Código colectivo con digest, vencimiento, revocación y usos.</w:t>
            </w:r>
          </w:p>
        </w:tc>
      </w:tr>
      <w:tr w:rsidR="00E726CB" w:rsidRPr="001D11BD" w14:paraId="61E61A71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B7D22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06CF1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app.concepts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431E17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Identidad de concepto y nombre normalizado único; principal usa este nombre físico.</w:t>
            </w:r>
          </w:p>
        </w:tc>
      </w:tr>
      <w:tr w:rsidR="00E726CB" w:rsidRPr="001D11BD" w14:paraId="058AB78D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9142D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DC0C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app.concept_versions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99F64D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Nombre/descripción/padre versionados e inmutables; grafo sin ciclos.</w:t>
            </w:r>
          </w:p>
        </w:tc>
      </w:tr>
      <w:tr w:rsidR="00E726CB" w:rsidRPr="001D11BD" w14:paraId="1083F7F6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B04BF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5E9E2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app.exercises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E698E3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Identidad reutilizable, propietario, visibilidad y versión actual.</w:t>
            </w:r>
          </w:p>
        </w:tc>
      </w:tr>
      <w:tr w:rsidR="00E726CB" w:rsidRPr="001D11BD" w14:paraId="056F2DF0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CC546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CE206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app.exercise_versions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BDB901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Enunciado, plantilla, entrada solve, lenguaje, dificultad y límites inmutables.</w:t>
            </w:r>
          </w:p>
        </w:tc>
      </w:tr>
      <w:tr w:rsidR="00E726CB" w:rsidRPr="001D11BD" w14:paraId="6C150F5B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420A1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8A974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app.exercise_version_concepts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DB81F2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Puente que fija identidad y versión conceptual por ejercicio.</w:t>
            </w:r>
          </w:p>
        </w:tc>
      </w:tr>
      <w:tr w:rsidR="00E726CB" w:rsidRPr="001D11BD" w14:paraId="2C095181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FB0C3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10AB6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app_private.exercise_tests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8CF114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Pruebas deterministas privadas VISIBLE/HIDDEN y comparador EXACT_DEEP.</w:t>
            </w:r>
          </w:p>
        </w:tc>
      </w:tr>
      <w:tr w:rsidR="00E726CB" w:rsidRPr="001D11BD" w14:paraId="73B38B9E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887CB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TB-019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24C78E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app.activities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08550B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Clase, tipo, DRAFT/PUBLISHED/CLOSED y ventanas UTC.</w:t>
            </w:r>
          </w:p>
        </w:tc>
      </w:tr>
      <w:tr w:rsidR="00E726CB" w:rsidRPr="001D11BD" w14:paraId="151BE168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0019B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TB-020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E7824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app.activity_exercises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7DE736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 w:rsidRPr="001D11BD">
              <w:rPr>
                <w:color w:val="000000"/>
                <w:sz w:val="21"/>
                <w:szCs w:val="21"/>
                <w:lang w:val="es-CL"/>
              </w:rPr>
              <w:t>Versión, orden y obligatoriedad fijos en la publicación.</w:t>
            </w:r>
          </w:p>
        </w:tc>
      </w:tr>
      <w:tr w:rsidR="00E726CB" w:rsidRPr="001D11BD" w14:paraId="269B6F88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6CE9A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4C637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app.executions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9198B1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Reservas operativas de RUN y resultado temporal, sin código fuente ni intento; retención de respuesta de 24 horas.</w:t>
            </w:r>
          </w:p>
        </w:tc>
      </w:tr>
      <w:tr w:rsidR="00E726CB" w:rsidRPr="001D11BD" w14:paraId="61861FE6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82E12A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04EE2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app_private.submission_reservations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3175F0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Reservas privadas de SUBMIT con código, evidencia normalizada, lease, recuperación e identidad de la confirmación.</w:t>
            </w:r>
          </w:p>
        </w:tc>
      </w:tr>
      <w:tr w:rsidR="00E726CB" w:rsidRPr="001D11BD" w14:paraId="4C236EB2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829EB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1071F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app.attempts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F18261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Intentos inmutables de un estudiante y asignación, con código, versión, resultado público e intento anterior opcional.</w:t>
            </w:r>
          </w:p>
        </w:tc>
      </w:tr>
      <w:tr w:rsidR="00E726CB" w:rsidRPr="001D11BD" w14:paraId="0B471FE5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5A89FF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6CA6B8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app_private.attempt_results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44CBB2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Resultado privado e inmutable de cada intento; conserva solo identificadores y booleanos de pruebas ocultas.</w:t>
            </w:r>
          </w:p>
        </w:tc>
      </w:tr>
      <w:tr w:rsidR="00E726CB" w:rsidRPr="001D11BD" w14:paraId="0BB4A0EF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9F3875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45B70B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app_private.attempt_events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8C1955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Eventos inmutables ATTEMPT_SUBMITTED y EXECUTION_COMPLETED confirmados junto con el intento.</w:t>
            </w:r>
          </w:p>
        </w:tc>
      </w:tr>
      <w:tr w:rsidR="00E726CB" w:rsidRPr="001D11BD" w14:paraId="387262C8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8E9624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22A817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sources / source_versions / source_index_generations / source_chunks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973900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Modelo lógico previsto de corpus autorizado y generaciones; producto pendiente.</w:t>
            </w:r>
          </w:p>
        </w:tc>
      </w:tr>
      <w:tr w:rsidR="00E726CB" w:rsidRPr="001D11BD" w14:paraId="0244C043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446BD3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E936F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feedback_requests / feedbacks / feedback_source_refs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EEC693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Modelo lógico previsto de ayuda y citas después del intento; pendiente.</w:t>
            </w:r>
          </w:p>
        </w:tc>
      </w:tr>
      <w:tr w:rsidR="00E726CB" w:rsidRPr="001D11BD" w14:paraId="566DA8D0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906910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1B506D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concept_progress / rule_versions / signals / signal_reviews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E92643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Progreso por concepto y seguimiento pendientes. El progreso por actividad ya se calcula desde app.attempts, sin tabla agregada nueva.</w:t>
            </w:r>
          </w:p>
        </w:tc>
      </w:tr>
      <w:tr w:rsidR="00E726CB" w:rsidRPr="001D11BD" w14:paraId="42CA1F21" w14:textId="77777777">
        <w:trPr>
          <w:cantSplit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F2108C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TB-029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71B4A9" w14:textId="77777777" w:rsidR="00E726CB" w:rsidRDefault="00257DF1">
            <w:pPr>
              <w:widowControl/>
              <w:spacing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background_jobs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2C7D28" w14:textId="77777777" w:rsidR="00E726CB" w:rsidRPr="001D11BD" w:rsidRDefault="00E726CB">
            <w:pPr>
              <w:widowControl/>
              <w:spacing w:after="60" w:line="240" w:lineRule="auto"/>
              <w:rPr>
                <w:color w:val="000000"/>
                <w:sz w:val="16"/>
                <w:szCs w:val="16"/>
                <w:lang w:val="es-CL"/>
              </w:rPr>
            </w:pPr>
            <w:r>
              <w:rPr>
                <w:color w:val="000000"/>
                <w:sz w:val="21"/>
                <w:szCs w:val="21"/>
                <w:lang w:val="es-CL"/>
              </w:rPr>
              <w:t>Soporte futuro de ingestión y ayuda. Práctica usa reservas propias y reconciliadores; invitaciones usa invitation_deliveries.</w:t>
            </w:r>
          </w:p>
        </w:tc>
      </w:tr>
    </w:tbl>
    <w:p w14:paraId="341274D9" w14:textId="77777777" w:rsidR="00E726CB" w:rsidRPr="001D11BD" w:rsidRDefault="00257DF1">
      <w:pPr>
        <w:pStyle w:val="Ttulo2"/>
        <w:pageBreakBefore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  <w:lang w:val="es-CL"/>
        </w:rPr>
      </w:pPr>
      <w:bookmarkStart w:id="21" w:name="_Toc243657021"/>
      <w:r w:rsidRPr="001D11BD">
        <w:rPr>
          <w:color w:val="000080"/>
          <w:sz w:val="24"/>
          <w:szCs w:val="24"/>
          <w:lang w:val="es-CL"/>
        </w:rPr>
        <w:lastRenderedPageBreak/>
        <w:t>Parte Dinámica (Diagrama de Secuencias)</w:t>
      </w:r>
      <w:bookmarkEnd w:id="21"/>
    </w:p>
    <w:p w14:paraId="43197B67" w14:textId="77777777" w:rsidR="00E726CB" w:rsidRPr="001D11BD" w:rsidRDefault="00E726CB">
      <w:pPr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Secuencia de SUBMIT y ayuda: el cliente nunca aporta diagnóstico confiable ni pruebas ocultas. El backend valida identidad y versión, admite la operación, ejecuta fuera de la API, persiste el intento y responde. La ayuda se solicita después; la transacción de dominio no espera a Azure. Si se pierde la respuesta de confirmación, repetir la clave idempotente recupera la operación; no se inventa otro intento.</w:t>
      </w:r>
    </w:p>
    <w:p w14:paraId="439FFEB3" w14:textId="77777777" w:rsidR="00E726CB" w:rsidRPr="001D11BD" w:rsidRDefault="00257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  <w:r>
        <w:rPr>
          <w:b/>
          <w:color w:val="000000"/>
          <w:sz w:val="22"/>
          <w:szCs w:val="22"/>
          <w:lang w:val="es-CL"/>
        </w:rPr>
        <w:t>Ilustración 5: SUBMIT local y extensión prevista de ayuda posterior</w:t>
      </w:r>
    </w:p>
    <w:p w14:paraId="6BFB0286" w14:textId="77777777" w:rsidR="00FA351F" w:rsidRDefault="00773183">
      <w:pPr>
        <w:widowControl/>
        <w:spacing w:after="100" w:line="240" w:lineRule="auto"/>
        <w:jc w:val="center"/>
      </w:pPr>
      <w:r>
        <w:rPr>
          <w:noProof/>
        </w:rPr>
        <w:drawing>
          <wp:inline distT="0" distB="0" distL="0" distR="0" wp14:anchorId="25DDE8DB" wp14:editId="4D3AEA2E">
            <wp:extent cx="5577840" cy="4706302"/>
            <wp:effectExtent l="0" t="0" r="0" b="0"/>
            <wp:docPr id="2005" name="alunza_das_sequence.png" descr="Ilustración 5: Secuencia de SUBMIT y ayuda posteri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das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0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C54B" w14:textId="77777777" w:rsidR="00E726CB" w:rsidRPr="001D11BD" w:rsidRDefault="00E726CB">
      <w:pPr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La confidencialidad de pruebas requiere más que separar el sandbox del anfitrión. El arnés/supervisor controla los comparadores y el canal de resultados; los mensajes, argumentos, stdout/stderr y expectativas de casos ocultos no se proyectan al estudiante ni al proveedor IA. Una cadena JSON impresa por el programa no acredita un resultado de prueba.</w:t>
      </w:r>
    </w:p>
    <w:p w14:paraId="74499666" w14:textId="77777777" w:rsidR="00E726CB" w:rsidRPr="001D11BD" w:rsidRDefault="00E726CB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QuickJS/WASM invoca solve o module.exports.solve y el supervisor controla el retorno. cgroup v2 impone hasta 134217728 bytes, 3000 ms acumulados y 65536 bytes de salida, o límites menores fijados por versión. Bajo 6 MiB devuelve UNKNOWN/CAPABILITY_GAP sin ejecutar; la memoria viable se redondea hacia abajo a páginas de 4096 bytes. El puente conserva UID0 y CAP_SETUID/CAP_SETGID/CAP_SETPCAP; el estudiante usa UID10001 y capacidades cero. No se afirma que todo el contenedor carezca de privilegios. IMP-03 aprobó falsificación y limpieza; Sandbox sigue pendiente de validación remota.</w:t>
      </w:r>
    </w:p>
    <w:p w14:paraId="461BC42F" w14:textId="77777777" w:rsidR="00E726CB" w:rsidRDefault="00257DF1">
      <w:pPr>
        <w:pStyle w:val="Ttulo1"/>
        <w:pageBreakBefore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22" w:name="_Toc243657022"/>
      <w:r>
        <w:rPr>
          <w:color w:val="000080"/>
          <w:sz w:val="28"/>
          <w:szCs w:val="28"/>
        </w:rPr>
        <w:lastRenderedPageBreak/>
        <w:t>Vista de Desarrollo o Despliegue</w:t>
      </w:r>
      <w:bookmarkEnd w:id="22"/>
    </w:p>
    <w:p w14:paraId="3242261A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La vista de desarrollo relaciona responsabilidades con paquetes y rutas verificadas. Las flechas representan contratos y dependencias internas, no microservicios desplegados. Se evita duplicar autorización o reglas de negocio en Next.js.</w:t>
      </w:r>
    </w:p>
    <w:p w14:paraId="2EBC83EB" w14:textId="77777777" w:rsidR="00E726CB" w:rsidRPr="001D11BD" w:rsidRDefault="00E726CB">
      <w:pPr>
        <w:widowControl/>
        <w:spacing w:after="130" w:line="240" w:lineRule="auto"/>
        <w:rPr>
          <w:b/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apps/web: páginas App Router, formularios y vistas por rol; cliente Auth/API, editor y borrador de sesión. apps/api: controladores, servicios, repositorios, autorización, operaciones y workers. packages/contracts: DTO, catálogos, Zod y OpenAPI. packages/runner: protocolo y adaptadores de cápsulas. packages/ai: puertos y adaptadores Azure/pgvector, sin potestad sobre progreso. supabase/migrations y supabase/tests: DDL/RLS/integridad; tests: contratos, integración y Cypress; infra/ y scripts/: Compose, runner, preparación y gates.</w:t>
      </w:r>
    </w:p>
    <w:p w14:paraId="111DAB5C" w14:textId="77777777" w:rsidR="00E726CB" w:rsidRPr="001D11BD" w:rsidRDefault="00E726CB">
      <w:pPr>
        <w:widowControl/>
        <w:spacing w:after="130" w:line="240" w:lineRule="auto"/>
        <w:rPr>
          <w:b/>
          <w:color w:val="000000"/>
          <w:lang w:val="es-CL"/>
        </w:rPr>
      </w:pPr>
      <w:r>
        <w:rPr>
          <w:color w:val="000000"/>
          <w:sz w:val="23"/>
          <w:szCs w:val="23"/>
          <w:lang w:val="es-CL"/>
        </w:rPr>
        <w:t>Contrato HTTP: /api/v1 es la única API de dominio. POST /activities/:id/exercises/:assignmentId/executions admite RUN; POST /attempts sobre esa asignación confirma SUBMIT. GET de intentos, GET /attempts/:id y GET /activities/:id/progress entregan evidencia propia; GET /classes/:id/attempted-activities permite encontrarla tras el cierre. Se usan bearer verificado, Idempotency-Key, versión de ejercicio y errores con correlación. Las rutas completas y DTO vigentes constan en packages/contracts/openapi.json y src/practice.ts / submissions.ts; ayuda de producto permanece pendiente.</w:t>
      </w:r>
    </w:p>
    <w:p w14:paraId="3A43ABDC" w14:textId="77777777" w:rsidR="00E726CB" w:rsidRDefault="00257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  <w:sz w:val="22"/>
          <w:szCs w:val="22"/>
        </w:rPr>
        <w:t>Ilustración 6: Componentes del workspace</w:t>
      </w:r>
    </w:p>
    <w:p w14:paraId="5124DCAE" w14:textId="77777777" w:rsidR="00FA351F" w:rsidRDefault="00773183">
      <w:pPr>
        <w:widowControl/>
        <w:spacing w:after="100" w:line="240" w:lineRule="auto"/>
        <w:jc w:val="center"/>
      </w:pPr>
      <w:r>
        <w:rPr>
          <w:noProof/>
        </w:rPr>
        <w:drawing>
          <wp:inline distT="0" distB="0" distL="0" distR="0" wp14:anchorId="6836D1A2" wp14:editId="1A151569">
            <wp:extent cx="5577840" cy="3695319"/>
            <wp:effectExtent l="0" t="0" r="0" b="0"/>
            <wp:docPr id="2006" name="alunza_das_components.png" descr="Ilustración 6: Componentes del workspa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das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DD2D" w14:textId="77777777" w:rsidR="00E726CB" w:rsidRPr="001D11BD" w:rsidRDefault="00E726CB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Invitaciones, RUN y SUBMIT tienen recuperación durable. Las reservas usan RUNNING, RECOVERING y COMPLETED, con lease y token: un ejecutor atrasado no puede confirmar. SUBMIT recupera la evidencia guardada sin volver a ejecutar código. Ingestión, ayuda y señales siguen pendientes.</w:t>
      </w:r>
    </w:p>
    <w:p w14:paraId="505BB248" w14:textId="77777777" w:rsidR="00E726CB" w:rsidRDefault="00257DF1">
      <w:pPr>
        <w:pStyle w:val="Ttulo1"/>
        <w:pageBreakBefore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23" w:name="_Toc243657023"/>
      <w:r>
        <w:rPr>
          <w:color w:val="000080"/>
          <w:sz w:val="28"/>
          <w:szCs w:val="28"/>
        </w:rPr>
        <w:lastRenderedPageBreak/>
        <w:t>Vista Fisica</w:t>
      </w:r>
      <w:bookmarkEnd w:id="23"/>
    </w:p>
    <w:p w14:paraId="68D35111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Los nodos siguientes representan el despliegue objetivo de AD-ARQ-001. En el corte existe evidencia local de desarrollo y TEST. No se ha acreditado Azure Container Apps operativo, llamadas Azure OpenAI reales, ejecución productiva Sandbox ni CI remota de entrega.</w:t>
      </w:r>
    </w:p>
    <w:p w14:paraId="0DD9DC02" w14:textId="77777777" w:rsidR="00E726CB" w:rsidRPr="001D11BD" w:rsidRDefault="00E726CB">
      <w:pPr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b/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Navegador → Next.js en Vercel; autenticación → Supabase Auth; solicitudes HTTPS/JWT → NestJS en Azure Container Apps; API → PostgreSQL/RLS/pgvector y Storage privado; API → Vercel Sandbox desechable; API/worker → Azure OpenAI. PostgreSQL es la evidencia durable y coordina leases; IA no comparte una transacción abierta del envío. Secrets permanecen en los servicios autorizados y nunca se inyectan al código estudiantil.</w:t>
      </w:r>
    </w:p>
    <w:p w14:paraId="79DA029A" w14:textId="77777777" w:rsidR="00E726CB" w:rsidRPr="001D11BD" w:rsidRDefault="00257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  <w:r w:rsidRPr="001D11BD">
        <w:rPr>
          <w:b/>
          <w:color w:val="000000"/>
          <w:sz w:val="22"/>
          <w:szCs w:val="22"/>
          <w:lang w:val="es-CL"/>
        </w:rPr>
        <w:t>Ilustración 7: Despliegue objetivo híbrido AD-ARQ-001</w:t>
      </w:r>
    </w:p>
    <w:p w14:paraId="3BA2D1E5" w14:textId="77777777" w:rsidR="00FA351F" w:rsidRDefault="00773183">
      <w:pPr>
        <w:widowControl/>
        <w:spacing w:after="100" w:line="240" w:lineRule="auto"/>
        <w:jc w:val="center"/>
      </w:pPr>
      <w:r>
        <w:rPr>
          <w:noProof/>
        </w:rPr>
        <w:drawing>
          <wp:inline distT="0" distB="0" distL="0" distR="0" wp14:anchorId="35E323A7" wp14:editId="65DB9495">
            <wp:extent cx="5303520" cy="3712464"/>
            <wp:effectExtent l="0" t="0" r="0" b="0"/>
            <wp:docPr id="2007" name="alunza_das_deployment.png" descr="Ilustración 7: Despliegue objetivo híbrido AD-ARQ-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das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1315" w14:textId="77777777" w:rsidR="00E726CB" w:rsidRPr="001D11BD" w:rsidRDefault="00E726CB">
      <w:pPr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Local: Next.js/NestJS, Supabase CLI/PostgreSQL 17.6 y Docker; seed ficticio y controles reproducibles. CI: datos y servicios TEST aislados. Preview: web/API/ámbito de prueba compatibles y separados de producción. Demo/producción: proveedores de la línea base sujetos a configuración, autorización y pruebas remotas. Región, cuotas, costos, backups/restauración, RPO/RTO y monitoreo requieren cierre antes del piloto.</w:t>
      </w:r>
    </w:p>
    <w:p w14:paraId="70F8051C" w14:textId="77777777" w:rsidR="00E726CB" w:rsidRPr="001D11BD" w:rsidRDefault="00E726CB">
      <w:pPr>
        <w:rPr>
          <w:lang w:val="es-CL"/>
        </w:rPr>
      </w:pPr>
      <w:r>
        <w:rPr>
          <w:color w:val="000000"/>
          <w:sz w:val="23"/>
          <w:szCs w:val="23"/>
          <w:lang w:val="es-CL"/>
        </w:rPr>
        <w:t>Evidencia local de IMP-03 (23/10/2026): 14/14 controles de CI aprobados; 675 pruebas unitarias y de contratos, 111 de integración HTTP, 313 SQL, 78 casos Docker y 34 recorridos Cypress. SUBMIT con cuatro alumnos concurrentes alcanzó p95 de 3502,71 ms; los 100 envíos del informe de SUBMIT se confirmaron y persistieron, sin cápsulas pendientes. El resultado corresponde al candidato y los perfiles publicados en docs/work/evidence/imp-03; no acredita servicio remoto ni aceptación académica.</w:t>
      </w:r>
    </w:p>
    <w:p w14:paraId="75E9065E" w14:textId="77777777" w:rsidR="00E726CB" w:rsidRPr="001D11BD" w:rsidRDefault="00257DF1">
      <w:pPr>
        <w:pStyle w:val="Ttulo1"/>
        <w:pageBreakBefore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  <w:lang w:val="es-CL"/>
        </w:rPr>
      </w:pPr>
      <w:bookmarkStart w:id="24" w:name="_Toc243657024"/>
      <w:r w:rsidRPr="001D11BD">
        <w:rPr>
          <w:color w:val="000080"/>
          <w:sz w:val="28"/>
          <w:szCs w:val="28"/>
          <w:lang w:val="es-CL"/>
        </w:rPr>
        <w:lastRenderedPageBreak/>
        <w:t>Decisiones de Diseño y Selección de Alternativas</w:t>
      </w:r>
      <w:bookmarkEnd w:id="24"/>
    </w:p>
    <w:p w14:paraId="07A64674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AD-ARQ-001: conservar Next.js/Vercel, NestJS/Azure Container Apps, Supabase Auth/PostgreSQL/Storage/RLS/pgvector y Vercel Sandbox productivo/Docker local. Se eligió la separación entre presentación, dominio y servicios especializados para mantener una única autorización y permitir verificar contratos; no se declara una aprobación nueva ni un despliegue completado.</w:t>
      </w:r>
    </w:p>
    <w:p w14:paraId="10E97ED3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AD-IA-001: Azure OpenAI es el proveedor inicial detrás de puertos configurables. La sustitución de proveedor exige registro formal. Las pruebas TEST con proveedores ficticios verifican lógica y degradación local; no demuestran latencia, cuota o calidad pedagógica del servicio real. El proceso técnico y el progreso se mantienen independientes del LLM.</w:t>
      </w:r>
    </w:p>
    <w:p w14:paraId="68B31E58" w14:textId="77777777" w:rsidR="00E726CB" w:rsidRPr="001D11BD" w:rsidRDefault="00257DF1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Decisiones concretadas: DEC-001 define identidad global, un rol por membresía, estado local, permiso de creación institucional y entrega durable; DEC-002 define versiones fijas, DRAFT → PUBLISHED → CLOSED y ventanas; DEC-003 fija unidades en ensayos y mantiene validación de aislamiento productivo; DEC-004 concreta contratos, transacciones e idempotencia por incremento; DEC-006 evoluciona migraciones y diccionarios. Estas precisiones autorizadas por el usuario para implementación local no equivalen a aceptación docente.</w:t>
      </w:r>
    </w:p>
    <w:p w14:paraId="3AA010ED" w14:textId="77777777" w:rsidR="00E726CB" w:rsidRPr="001D11BD" w:rsidRDefault="00E726CB">
      <w:pPr>
        <w:widowControl/>
        <w:spacing w:after="130" w:line="240" w:lineRule="auto"/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DEC-005 permanece pendiente en alunza-edu: ratificar eventos elegibles, ventanas, desempates, comparabilidad, episodios y deduplicación de señales. specs/14-progreso-y-senales.md aporta reglas y fixtures propuestos, sin resultados de ejecución ni aprobación del motor. El versionado debe conservar parámetros, vigencia y evidencia histórica.</w:t>
      </w:r>
    </w:p>
    <w:p w14:paraId="29B630B6" w14:textId="77777777" w:rsidR="00E726CB" w:rsidRPr="001D11BD" w:rsidRDefault="00E726CB">
      <w:pPr>
        <w:widowControl/>
        <w:spacing w:after="130" w:line="240" w:lineRule="auto"/>
        <w:rPr>
          <w:lang w:val="es-CL"/>
        </w:rPr>
      </w:pPr>
      <w:r>
        <w:rPr>
          <w:color w:val="000000"/>
          <w:sz w:val="23"/>
          <w:szCs w:val="23"/>
          <w:lang w:val="es-CL"/>
        </w:rPr>
        <w:t>Pendientes: integrar materiales y ayuda real, progreso por concepto, señales y tableros, gobierno restante y CSV operativo; validar Azure/Sandbox y región (DEC-008/010); resolver política institucional y recuperación (DEC-009), capacidad/freeze (DEC-011) y demo final (DEC-012). La entrega local no equivale a aceptación académica o despliegue remoto.</w:t>
      </w:r>
    </w:p>
    <w:p w14:paraId="4D777D13" w14:textId="77777777" w:rsidR="00E726CB" w:rsidRPr="001D11BD" w:rsidRDefault="00E726CB">
      <w:pPr>
        <w:rPr>
          <w:lang w:val="es-CL"/>
        </w:rPr>
      </w:pPr>
      <w:r w:rsidRPr="001D11BD">
        <w:rPr>
          <w:color w:val="000000"/>
          <w:sz w:val="23"/>
          <w:szCs w:val="23"/>
          <w:lang w:val="es-CL"/>
        </w:rPr>
        <w:t>Alternativas descartadas: microservicios por capacidad, una API de negocio paralela en Next.js, ejecutar código estudiantil dentro de NestJS, IA como calificador y trasladar el MER Oracle histórico sin adaptar aislamiento/versionado. Añaden complejidad o contradicen las fronteras del diseño. Riesgo vigente: la auditoría comparada de dependencias conserva 14 entradas previas afectadas (5 críticas, 7 altas y 2 moderadas), sin nuevas entradas de QuickJS; requiere tratamiento antes de publicar, según docs/work/evidence/imp-03/dependency-audit.json.</w:t>
      </w:r>
    </w:p>
    <w:p w14:paraId="7C061C43" w14:textId="77777777" w:rsidR="00E726CB" w:rsidRDefault="00257DF1">
      <w:pPr>
        <w:pStyle w:val="Ttulo1"/>
        <w:pageBreakBefore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25" w:name="_Toc243657025"/>
      <w:r>
        <w:rPr>
          <w:color w:val="000080"/>
          <w:sz w:val="28"/>
          <w:szCs w:val="28"/>
        </w:rPr>
        <w:lastRenderedPageBreak/>
        <w:t>Análisis de Reutilización</w:t>
      </w:r>
      <w:bookmarkEnd w:id="25"/>
    </w:p>
    <w:p w14:paraId="117738CB" w14:textId="77777777" w:rsidR="00E726CB" w:rsidRPr="001D11BD" w:rsidRDefault="00257DF1">
      <w:pPr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Se reutilizan componentes de interfaz, contratos de validación, errores/correlación y helpers de autorización entre flujos, respetando el permiso de cada operación. El banco reutiliza la identidad del ejercicio y fija una versión concreta en cada publicación; la edición futura conserva lo ya utilizado. La taxonomía mantiene identidad y versiones, evitando duplicar conceptos o introducir ciclos.</w:t>
      </w:r>
    </w:p>
    <w:p w14:paraId="25CA805D" w14:textId="77777777" w:rsidR="00E726CB" w:rsidRPr="001D11BD" w:rsidRDefault="00257DF1">
      <w:pPr>
        <w:widowControl/>
        <w:pBdr>
          <w:top w:val="nil"/>
          <w:left w:val="nil"/>
          <w:bottom w:val="nil"/>
          <w:right w:val="nil"/>
          <w:between w:val="nil"/>
        </w:pBdr>
        <w:spacing w:after="130" w:line="240" w:lineRule="auto"/>
        <w:rPr>
          <w:color w:val="000000"/>
          <w:lang w:val="es-CL"/>
        </w:rPr>
      </w:pPr>
      <w:r w:rsidRPr="001D11BD">
        <w:rPr>
          <w:color w:val="000000"/>
          <w:sz w:val="23"/>
          <w:szCs w:val="23"/>
          <w:lang w:val="es-CL"/>
        </w:rPr>
        <w:t>Los puertos compartidos permiten verificar el mismo protocolo con Docker local y Sandbox objetivo, y conservar el contrato de embeddings/generación sin acoplar el dominio al SDK. La equivalencia local no acredita seguridad ni rendimiento remoto. Fixtures ficticios, seeds idempotentes, pruebas de contratos/RLS y utilidades de CI se reutilizan para regresión; las evidencias históricas conservan su candidato y fecha.</w:t>
      </w:r>
    </w:p>
    <w:p w14:paraId="64AB4799" w14:textId="77777777" w:rsidR="00E726CB" w:rsidRDefault="00E726CB">
      <w:r w:rsidRPr="001D11BD">
        <w:rPr>
          <w:color w:val="000000"/>
          <w:sz w:val="23"/>
          <w:szCs w:val="23"/>
          <w:lang w:val="es-CL"/>
        </w:rPr>
        <w:t xml:space="preserve">Cierre documental: este DAS mantiene la línea base y hace visibles las brechas. Para aceptar la arquitectura implementada se requiere flujo integrado de los tres roles, aislamiento API/BD/Storage, límites reales y limpieza del ejecutor, persistencia antes de IA, degradación segura, progreso/señales reproducibles, accesibilidad, restauración y metas medidas en el candidato de entrega. </w:t>
      </w:r>
      <w:r>
        <w:rPr>
          <w:color w:val="000000"/>
          <w:sz w:val="23"/>
          <w:szCs w:val="23"/>
        </w:rPr>
        <w:t>La revisión de este documento no sustituye esas verificaciones.</w:t>
      </w:r>
    </w:p>
    <w:sectPr w:rsidR="00E726CB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1F94E" w14:textId="77777777" w:rsidR="006215CA" w:rsidRDefault="006215CA">
      <w:pPr>
        <w:spacing w:line="240" w:lineRule="auto"/>
      </w:pPr>
      <w:r>
        <w:separator/>
      </w:r>
    </w:p>
  </w:endnote>
  <w:endnote w:type="continuationSeparator" w:id="0">
    <w:p w14:paraId="352631DF" w14:textId="77777777" w:rsidR="006215CA" w:rsidRDefault="00621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72AF437-2742-4DC9-9233-02294376FF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229D3E9-E1DC-4D2D-A06D-12DAAA7E8B4A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5B15EAAB-7CA8-48EB-BDD2-38ED512DAD74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917A796D-D6F0-49C1-8347-8F0E78C6DE83}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BF32970-43FC-4B6D-A6CA-BF48A5ECCAF7}"/>
    <w:embedBold r:id="rId6" w:fontKey="{789BDB3A-ABD0-4AEC-96D8-BC66D5B69D2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C516B33D-6F9A-464C-8F59-C125283B4682}"/>
    <w:embedItalic r:id="rId8" w:fontKey="{6FC6678B-E215-4577-9C69-06C62ED186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6F7274A2-A039-4374-B6D0-769BB73488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FBF0" w14:textId="77777777" w:rsidR="00E726CB" w:rsidRDefault="00257D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2A9A431" wp14:editId="010CC02D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l="0" t="0" r="0" b="0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ED3FC48" w14:textId="77777777" w:rsidR="00E726CB" w:rsidRDefault="00257D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Documento Confidencial                                                                                                                                                 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222116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3F70" w14:textId="77777777" w:rsidR="006215CA" w:rsidRDefault="006215CA">
      <w:pPr>
        <w:spacing w:line="240" w:lineRule="auto"/>
      </w:pPr>
      <w:r>
        <w:separator/>
      </w:r>
    </w:p>
  </w:footnote>
  <w:footnote w:type="continuationSeparator" w:id="0">
    <w:p w14:paraId="05A1C01F" w14:textId="77777777" w:rsidR="006215CA" w:rsidRDefault="006215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440F" w14:textId="77777777" w:rsidR="00E726CB" w:rsidRDefault="00257D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spacing w:line="240" w:lineRule="auto"/>
      <w:rPr>
        <w:color w:val="000000"/>
      </w:rPr>
    </w:pPr>
    <w:r>
      <w:rPr>
        <w:color w:val="5F5F5F"/>
        <w:sz w:val="16"/>
        <w:szCs w:val="16"/>
        <w:u w:val="single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60ED6" w14:textId="77777777" w:rsidR="00E726CB" w:rsidRDefault="00257DF1">
    <w:pPr>
      <w:spacing w:line="240" w:lineRule="auto"/>
      <w:jc w:val="right"/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1351FB0" wp14:editId="4E0D9C9F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340999" w14:textId="77777777" w:rsidR="00E726CB" w:rsidRPr="001D11BD" w:rsidRDefault="00257DF1">
    <w:pPr>
      <w:widowControl/>
      <w:spacing w:line="240" w:lineRule="auto"/>
      <w:jc w:val="right"/>
      <w:rPr>
        <w:sz w:val="24"/>
        <w:szCs w:val="24"/>
        <w:lang w:val="es-CL"/>
      </w:rPr>
    </w:pPr>
    <w:r w:rsidRPr="001D11BD">
      <w:rPr>
        <w:i/>
        <w:sz w:val="14"/>
        <w:szCs w:val="14"/>
        <w:lang w:val="es-CL"/>
      </w:rPr>
      <w:t>Vicerrectoría Académica</w:t>
    </w:r>
  </w:p>
  <w:p w14:paraId="186114F7" w14:textId="77777777" w:rsidR="00E726CB" w:rsidRPr="001D11BD" w:rsidRDefault="00257DF1">
    <w:pPr>
      <w:widowControl/>
      <w:spacing w:line="240" w:lineRule="auto"/>
      <w:jc w:val="right"/>
      <w:rPr>
        <w:sz w:val="24"/>
        <w:szCs w:val="24"/>
        <w:lang w:val="es-CL"/>
      </w:rPr>
    </w:pPr>
    <w:r w:rsidRPr="001D11BD">
      <w:rPr>
        <w:i/>
        <w:sz w:val="14"/>
        <w:szCs w:val="14"/>
        <w:lang w:val="es-CL"/>
      </w:rPr>
      <w:t>Dirección de Servicios Académicos</w:t>
    </w:r>
  </w:p>
  <w:p w14:paraId="5F6E0E29" w14:textId="77777777" w:rsidR="00E726CB" w:rsidRDefault="00257DF1">
    <w:pPr>
      <w:widowControl/>
      <w:spacing w:line="240" w:lineRule="auto"/>
      <w:jc w:val="right"/>
      <w:rPr>
        <w:sz w:val="24"/>
        <w:szCs w:val="24"/>
      </w:rPr>
    </w:pPr>
    <w:r>
      <w:rPr>
        <w:i/>
        <w:sz w:val="14"/>
        <w:szCs w:val="14"/>
      </w:rPr>
      <w:t>Subdirección de Servicios a Escuelas</w:t>
    </w:r>
  </w:p>
  <w:p w14:paraId="1C223135" w14:textId="77777777" w:rsidR="00E726CB" w:rsidRDefault="00E726CB">
    <w:pPr>
      <w:widowControl/>
      <w:tabs>
        <w:tab w:val="center" w:pos="4419"/>
        <w:tab w:val="right" w:pos="8838"/>
      </w:tabs>
      <w:spacing w:after="200" w:line="276" w:lineRule="auto"/>
      <w:rPr>
        <w:sz w:val="24"/>
        <w:szCs w:val="24"/>
      </w:rPr>
    </w:pPr>
  </w:p>
  <w:p w14:paraId="66C690D3" w14:textId="77777777" w:rsidR="00E726CB" w:rsidRDefault="00E726C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  <w:p w14:paraId="6AAECEEF" w14:textId="77777777" w:rsidR="00E726CB" w:rsidRDefault="00E726C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38FA"/>
    <w:multiLevelType w:val="multilevel"/>
    <w:tmpl w:val="0366A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73724B"/>
    <w:multiLevelType w:val="multilevel"/>
    <w:tmpl w:val="D4D23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E00F76"/>
    <w:multiLevelType w:val="multilevel"/>
    <w:tmpl w:val="E4E6FB5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090309"/>
    <w:multiLevelType w:val="multilevel"/>
    <w:tmpl w:val="4CD4B04C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551231"/>
    <w:multiLevelType w:val="multilevel"/>
    <w:tmpl w:val="492219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DC44072"/>
    <w:multiLevelType w:val="multilevel"/>
    <w:tmpl w:val="13EEFB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64913652">
    <w:abstractNumId w:val="2"/>
  </w:num>
  <w:num w:numId="2" w16cid:durableId="1711417303">
    <w:abstractNumId w:val="3"/>
  </w:num>
  <w:num w:numId="3" w16cid:durableId="1620381093">
    <w:abstractNumId w:val="0"/>
  </w:num>
  <w:num w:numId="4" w16cid:durableId="543561068">
    <w:abstractNumId w:val="4"/>
  </w:num>
  <w:num w:numId="5" w16cid:durableId="833767324">
    <w:abstractNumId w:val="5"/>
  </w:num>
  <w:num w:numId="6" w16cid:durableId="1810436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6CB"/>
    <w:rsid w:val="00011673"/>
    <w:rsid w:val="0003225B"/>
    <w:rsid w:val="001D11BD"/>
    <w:rsid w:val="001E003E"/>
    <w:rsid w:val="00222116"/>
    <w:rsid w:val="00257DF1"/>
    <w:rsid w:val="002D3A2F"/>
    <w:rsid w:val="002D3DB1"/>
    <w:rsid w:val="002D57C5"/>
    <w:rsid w:val="003D7166"/>
    <w:rsid w:val="003F3C3F"/>
    <w:rsid w:val="004B391C"/>
    <w:rsid w:val="00595492"/>
    <w:rsid w:val="005C4AFB"/>
    <w:rsid w:val="006215CA"/>
    <w:rsid w:val="00773183"/>
    <w:rsid w:val="008D2067"/>
    <w:rsid w:val="009A53B6"/>
    <w:rsid w:val="009C6BBB"/>
    <w:rsid w:val="00AA55D0"/>
    <w:rsid w:val="00C42B02"/>
    <w:rsid w:val="00DC32D8"/>
    <w:rsid w:val="00E668A6"/>
    <w:rsid w:val="00E726CB"/>
    <w:rsid w:val="00F12559"/>
    <w:rsid w:val="00F35A25"/>
    <w:rsid w:val="00F4349B"/>
    <w:rsid w:val="00FA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1BB16"/>
  <w15:docId w15:val="{32032FBA-0FF3-4D0A-8646-75C16CBF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2DD"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i/>
      <w:sz w:val="36"/>
      <w:szCs w:val="36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basedOn w:val="Ttulo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Fecha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  <w:spacing w:line="240" w:lineRule="auto"/>
    </w:pPr>
  </w:style>
  <w:style w:type="paragraph" w:styleId="Textosinformato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  <w:spacing w:line="240" w:lineRule="auto"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 w:line="240" w:lineRule="auto"/>
      <w:jc w:val="center"/>
    </w:pPr>
    <w:rPr>
      <w:rFonts w:eastAsia="Arial Unicode MS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 w:line="240" w:lineRule="auto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 w:line="240" w:lineRule="auto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 w:line="240" w:lineRule="auto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 w:line="240" w:lineRule="auto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 w:line="240" w:lineRule="auto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basedOn w:val="Ttulo2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basedOn w:val="Ttulo"/>
    <w:rsid w:val="00184A7C"/>
    <w:pPr>
      <w:jc w:val="left"/>
    </w:pPr>
    <w:rPr>
      <w:bCs/>
      <w:color w:val="000080"/>
      <w:sz w:val="28"/>
    </w:rPr>
  </w:style>
  <w:style w:type="paragraph" w:customStyle="1" w:styleId="EstiloTtulo3VerdanaJustificado">
    <w:name w:val="Estilo Título 3 + Verdana Justificado"/>
    <w:basedOn w:val="Ttulo3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uiPriority w:val="39"/>
    <w:rsid w:val="00050F60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DC258C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BS9plTrJa/pq8APHAsYbSLWAP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NCamR5OGVuRGR0TnR1VXRwdXhvVnlkOEZxNldQOX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6387</Words>
  <Characters>35129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Alunza</dc:creator>
  <cp:lastModifiedBy>Marcelo Nuñez</cp:lastModifiedBy>
  <cp:revision>10</cp:revision>
  <dcterms:created xsi:type="dcterms:W3CDTF">2018-09-29T18:03:00Z</dcterms:created>
  <dcterms:modified xsi:type="dcterms:W3CDTF">2026-10-23T17:09:00Z</dcterms:modified>
</cp:coreProperties>
</file>