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3F70" w14:textId="77777777" w:rsidR="00671DA2" w:rsidRDefault="00CF3812" w:rsidP="00F77B21">
      <w:pPr>
        <w:jc w:val="center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>Modelos procesos de negocio</w:t>
      </w:r>
    </w:p>
    <w:p w14:paraId="535EA286" w14:textId="77777777" w:rsidR="007D0803" w:rsidRDefault="00000000">
      <w:pPr>
        <w:spacing w:after="110" w:line="240" w:lineRule="auto"/>
        <w:jc w:val="center"/>
      </w:pPr>
      <w:r>
        <w:rPr>
          <w:rFonts w:ascii="Calibri" w:hAnsi="Calibri"/>
          <w:b/>
        </w:rPr>
        <w:t>Alunza — Tutor Universitario Inteligente para Programación I con JavaScript</w:t>
      </w:r>
    </w:p>
    <w:p w14:paraId="708DCBAA" w14:textId="77777777" w:rsidR="007D0803" w:rsidRDefault="00000000">
      <w:pPr>
        <w:spacing w:after="110" w:line="240" w:lineRule="auto"/>
        <w:jc w:val="center"/>
      </w:pPr>
      <w:r>
        <w:rPr>
          <w:rFonts w:ascii="Calibri" w:hAnsi="Calibri"/>
          <w:sz w:val="20"/>
          <w:szCs w:val="20"/>
        </w:rPr>
        <w:t xml:space="preserve">1.2 | Fase 2 | Revisión documental y corte probado: 23 de octubre de 2026</w:t>
      </w:r>
    </w:p>
    <w:p w14:paraId="0ACB228F" w14:textId="47EC8024" w:rsidR="007D0803" w:rsidRDefault="00000000">
      <w:pPr>
        <w:spacing w:after="110" w:line="240" w:lineRule="auto"/>
      </w:pPr>
      <w:r>
        <w:rPr>
          <w:rFonts w:ascii="Calibri" w:hAnsi="Calibri"/>
          <w:sz w:val="21"/>
          <w:szCs w:val="21"/>
        </w:rPr>
        <w:t>Los diagramas representan el proceso objetivo TO-BE de</w:t>
      </w:r>
      <w:r w:rsidR="003923B0">
        <w:rPr>
          <w:rFonts w:ascii="Calibri" w:hAnsi="Calibri"/>
          <w:sz w:val="21"/>
          <w:szCs w:val="21"/>
        </w:rPr>
        <w:t xml:space="preserve"> Alunza</w:t>
      </w:r>
      <w:r>
        <w:rPr>
          <w:rFonts w:ascii="Calibri" w:hAnsi="Calibri"/>
          <w:sz w:val="21"/>
          <w:szCs w:val="21"/>
        </w:rPr>
        <w:t>. La descripción diferencia requisitos documentados, capacidades comprobadas localmente y trabajo pendiente. No acredita despliegue productivo, uso con estudiantes reales ni aceptación docente.</w:t>
      </w:r>
    </w:p>
    <w:p w14:paraId="2DF98DB5" w14:textId="77777777" w:rsidR="007D0803" w:rsidRDefault="00000000">
      <w:pPr>
        <w:keepNext/>
        <w:spacing w:after="110" w:line="240" w:lineRule="auto"/>
      </w:pPr>
      <w:r>
        <w:rPr>
          <w:rFonts w:ascii="Calibri" w:hAnsi="Calibri"/>
          <w:b/>
          <w:sz w:val="24"/>
          <w:szCs w:val="24"/>
        </w:rPr>
        <w:t>1 Propósito y contexto del proceso</w:t>
      </w:r>
    </w:p>
    <w:p w14:paraId="59BE36B6" w14:textId="77777777" w:rsidR="007D0803" w:rsidRDefault="00000000">
      <w:pPr>
        <w:spacing w:after="110" w:line="240" w:lineRule="auto"/>
      </w:pPr>
      <w:r>
        <w:rPr>
          <w:rFonts w:ascii="Calibri" w:hAnsi="Calibri"/>
          <w:sz w:val="21"/>
          <w:szCs w:val="21"/>
        </w:rPr>
        <w:t>La problemática documentada del proyecto es la dificultad para convertir un resultado de programación aislado en orientación para mejorar y para revisar manualmente los intentos de una clase con suficiente oportunidad. Este contexto procede de la ERS y del alcance de Alunza; no se presenta como resultado de entrevistas, observación de una institución o mediciones de un proceso AS-IS realizadas durante esta entrega.</w:t>
      </w:r>
    </w:p>
    <w:p w14:paraId="7145DBC6" w14:textId="77777777" w:rsidR="007D0803" w:rsidRDefault="00000000">
      <w:pPr>
        <w:spacing w:after="110" w:line="240" w:lineRule="auto"/>
      </w:pPr>
      <w:r>
        <w:rPr>
          <w:rFonts w:ascii="Calibri" w:hAnsi="Calibri"/>
          <w:sz w:val="21"/>
          <w:szCs w:val="21"/>
        </w:rPr>
        <w:t>El proceso TO-BE articula habilitación institucional, preparación docente, práctica estudiantil, diagnóstico determinista, ayuda con fuentes autorizadas y seguimiento humano. Su resultado es evidencia formativa trazable. El profesor interpreta la evidencia y decide el acompañamiento; el sistema no asigna notas oficiales ni sanciones automáticas.</w:t>
      </w:r>
    </w:p>
    <w:tbl>
      <w:tblPr>
        <w:tblW w:w="8500" w:type="dxa"/>
        <w:tblBorders>
          <w:top w:val="single" w:sz="4" w:space="0" w:color="B6B6B6"/>
          <w:left w:val="single" w:sz="4" w:space="0" w:color="B6B6B6"/>
          <w:bottom w:val="single" w:sz="4" w:space="0" w:color="B6B6B6"/>
          <w:right w:val="single" w:sz="4" w:space="0" w:color="B6B6B6"/>
          <w:insideH w:val="single" w:sz="4" w:space="0" w:color="B6B6B6"/>
          <w:insideV w:val="single" w:sz="4" w:space="0" w:color="B6B6B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7D0803" w14:paraId="36850A16" w14:textId="77777777">
        <w:trPr>
          <w:cantSplit/>
          <w:tblHeader/>
        </w:trPr>
        <w:tc>
          <w:tcPr>
            <w:tcW w:w="1500" w:type="dxa"/>
            <w:shd w:val="clear" w:color="auto" w:fill="F3F3F3"/>
          </w:tcPr>
          <w:p w14:paraId="200D3E35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b/>
                <w:sz w:val="20"/>
                <w:szCs w:val="20"/>
              </w:rPr>
              <w:t>Actor</w:t>
            </w:r>
          </w:p>
        </w:tc>
        <w:tc>
          <w:tcPr>
            <w:tcW w:w="7000" w:type="dxa"/>
            <w:shd w:val="clear" w:color="auto" w:fill="F3F3F3"/>
          </w:tcPr>
          <w:p w14:paraId="371833B9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b/>
                <w:sz w:val="20"/>
                <w:szCs w:val="20"/>
              </w:rPr>
              <w:t>Responsabilidad y límite</w:t>
            </w:r>
          </w:p>
        </w:tc>
      </w:tr>
      <w:tr w:rsidR="007D0803" w14:paraId="2C8562A6" w14:textId="77777777">
        <w:trPr>
          <w:cantSplit/>
        </w:trPr>
        <w:tc>
          <w:tcPr>
            <w:tcW w:w="1500" w:type="dxa"/>
          </w:tcPr>
          <w:p w14:paraId="28E0CB94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ADMIN</w:t>
            </w:r>
          </w:p>
        </w:tc>
        <w:tc>
          <w:tcPr>
            <w:tcW w:w="7000" w:type="dxa"/>
          </w:tcPr>
          <w:p w14:paraId="52EEC195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Gobierna organización, membresías, cursos, asignaciones, taxonomía, banco, fuentes, reglas y auditoría del ámbito autorizado. El rol no concede automáticamente lectura pedagógica de estudiantes ni publicación docente.</w:t>
            </w:r>
          </w:p>
        </w:tc>
      </w:tr>
      <w:tr w:rsidR="007D0803" w14:paraId="53F47284" w14:textId="77777777">
        <w:trPr>
          <w:cantSplit/>
        </w:trPr>
        <w:tc>
          <w:tcPr>
            <w:tcW w:w="1500" w:type="dxa"/>
          </w:tcPr>
          <w:p w14:paraId="142634E7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DOCENTE (TEACHER)</w:t>
            </w:r>
          </w:p>
        </w:tc>
        <w:tc>
          <w:tcPr>
            <w:tcW w:w="7000" w:type="dxa"/>
          </w:tcPr>
          <w:p w14:paraId="18C8370B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Prepara su clase, ejercicios, actividades y materiales; publica y cierra; consulta evidencia de sus clases y registra revisión de señales.</w:t>
            </w:r>
          </w:p>
        </w:tc>
      </w:tr>
      <w:tr w:rsidR="007D0803" w14:paraId="52360B46" w14:textId="77777777">
        <w:trPr>
          <w:cantSplit/>
        </w:trPr>
        <w:tc>
          <w:tcPr>
            <w:tcW w:w="1500" w:type="dxa"/>
          </w:tcPr>
          <w:p w14:paraId="63DA23C4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ESTUDIANTE (STUDENT)</w:t>
            </w:r>
          </w:p>
        </w:tc>
        <w:tc>
          <w:tcPr>
            <w:tcW w:w="7000" w:type="dxa"/>
          </w:tcPr>
          <w:p w14:paraId="429B1309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Confirma inscripción, resuelve, ejecuta, envía, solicita ayuda, reintenta y consulta solo su evidencia.</w:t>
            </w:r>
          </w:p>
        </w:tc>
      </w:tr>
      <w:tr w:rsidR="007D0803" w14:paraId="7DAF9612" w14:textId="77777777">
        <w:trPr>
          <w:cantSplit/>
        </w:trPr>
        <w:tc>
          <w:tcPr>
            <w:tcW w:w="1500" w:type="dxa"/>
          </w:tcPr>
          <w:p w14:paraId="7E5B4F72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Sistema / servicios técnicos</w:t>
            </w:r>
          </w:p>
        </w:tc>
        <w:tc>
          <w:tcPr>
            <w:tcW w:w="7000" w:type="dxa"/>
          </w:tcPr>
          <w:p w14:paraId="1003D283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Valida permisos, ejecuta pruebas y persiste evidencia. IA/RAG redacta ayuda autorizada; no decide progreso, señales ni intervención.</w:t>
            </w:r>
          </w:p>
        </w:tc>
      </w:tr>
      <w:tr w:rsidR="007D0803" w14:paraId="5A23C657" w14:textId="77777777">
        <w:trPr>
          <w:cantSplit/>
        </w:trPr>
        <w:tc>
          <w:tcPr>
            <w:tcW w:w="1500" w:type="dxa"/>
          </w:tcPr>
          <w:p w14:paraId="541D305E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Docente guía / comisión</w:t>
            </w:r>
          </w:p>
        </w:tc>
        <w:tc>
          <w:tcPr>
            <w:tcW w:w="7000" w:type="dxa"/>
          </w:tcPr>
          <w:p w14:paraId="7ED55B7D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Evalúan la entrega CAPSTONE. Son partes interesadas; no constituyen perfiles adicionales del producto.</w:t>
            </w:r>
          </w:p>
        </w:tc>
      </w:tr>
    </w:tbl>
    <w:p w14:paraId="297CE23B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Óvalo: inicio o fin; rectángulo: actividad; rombo: decisión; flecha: secuencia. El actor responsable se identifica en cada actividad. Las figuras son modelos de flujo descriptivos del TO-BE; no se afirma certificación BPMN.</w:t>
      </w:r>
    </w:p>
    <w:p w14:paraId="36FFB71E" w14:textId="77777777" w:rsidR="007D0803" w:rsidRDefault="00000000">
      <w:pPr>
        <w:keepNext/>
        <w:pageBreakBefore/>
        <w:spacing w:after="110" w:line="240" w:lineRule="auto"/>
      </w:pPr>
      <w:r>
        <w:rPr>
          <w:rFonts w:ascii="Calibri" w:hAnsi="Calibri"/>
          <w:b/>
          <w:sz w:val="24"/>
          <w:szCs w:val="24"/>
        </w:rPr>
        <w:lastRenderedPageBreak/>
        <w:t>2 Habilitación institucional y publicación docente</w:t>
      </w:r>
    </w:p>
    <w:p w14:paraId="0B20D0E5" w14:textId="77777777" w:rsidR="007D0803" w:rsidRDefault="00000000">
      <w:pPr>
        <w:spacing w:after="110" w:line="240" w:lineRule="auto"/>
      </w:pPr>
      <w:r>
        <w:rPr>
          <w:rFonts w:ascii="Calibri" w:hAnsi="Calibri"/>
          <w:sz w:val="21"/>
          <w:szCs w:val="21"/>
        </w:rPr>
        <w:t>ADMIN habilita identidades y estructura dentro de su organización. El DOCENTE asignado prepara clase, código colectivo, ejercicios y actividad. Preparar y publicar una actividad no exige que los estudiantes ya estén inscritos: la incorporación puede ocurrir antes o después. Para resolver deben coincidir inscripción vigente, actividad PUBLISHED y ventana disponible. La publicación fija versiones y orden; los cambios posteriores al banco no reescriben lo ya publicado.</w:t>
      </w:r>
    </w:p>
    <w:p w14:paraId="04FA9040" w14:textId="77777777" w:rsidR="007D0803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605B8B2A" wp14:editId="32F6C00C">
            <wp:extent cx="5321808" cy="5088979"/>
            <wp:effectExtent l="0" t="0" r="0" b="0"/>
            <wp:docPr id="2001" name="alunza_business_1.png" descr="Figura 1. TO-BE: de la habilitación institucional a una actividad publicad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nza_business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1808" cy="508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9D6D" w14:textId="77777777" w:rsidR="007D0803" w:rsidRDefault="00000000">
      <w:pPr>
        <w:spacing w:after="110" w:line="240" w:lineRule="auto"/>
      </w:pPr>
      <w:r>
        <w:rPr>
          <w:rFonts w:ascii="Calibri" w:hAnsi="Calibri"/>
          <w:b/>
          <w:sz w:val="20"/>
          <w:szCs w:val="20"/>
        </w:rPr>
        <w:t>Figura 1. TO-BE: preparación docente e incorporación independientes hasta habilitar la resolución.</w:t>
      </w:r>
    </w:p>
    <w:p w14:paraId="16B01E97" w14:textId="77777777" w:rsidR="007D0803" w:rsidRDefault="00000000">
      <w:pPr>
        <w:spacing w:after="110" w:line="240" w:lineRule="auto"/>
      </w:pPr>
      <w:r>
        <w:rPr>
          <w:rFonts w:ascii="Calibri" w:hAnsi="Calibri"/>
          <w:sz w:val="19"/>
          <w:szCs w:val="19"/>
        </w:rPr>
        <w:t>ALZ-RF/CU-001–005 y 020–024; ALZ-MF-001–004 y 013. La carga de fuentes se detalla en PN-03.</w:t>
      </w:r>
    </w:p>
    <w:p w14:paraId="7D923EF9" w14:textId="77777777" w:rsidR="007D0803" w:rsidRDefault="00000000">
      <w:pPr>
        <w:keepNext/>
        <w:pageBreakBefore/>
        <w:spacing w:after="110" w:line="240" w:lineRule="auto"/>
      </w:pPr>
      <w:r>
        <w:rPr>
          <w:rFonts w:ascii="Calibri" w:hAnsi="Calibri"/>
          <w:b/>
          <w:sz w:val="24"/>
          <w:szCs w:val="24"/>
        </w:rPr>
        <w:lastRenderedPageBreak/>
        <w:t>3 Práctica, envío y conservación de evidencia</w:t>
      </w:r>
    </w:p>
    <w:p w14:paraId="6E86D888" w14:textId="77777777" w:rsidR="007D0803" w:rsidRDefault="00000000">
      <w:pPr>
        <w:spacing w:after="110" w:line="240" w:lineRule="auto"/>
      </w:pPr>
      <w:r>
        <w:rPr>
          <w:rFonts w:ascii="Calibri" w:hAnsi="Calibri"/>
          <w:sz w:val="21"/>
          <w:szCs w:val="21"/>
        </w:rPr>
        <w:t xml:space="preserve">Proceso local IMP-03: el estudiante abre una publicación autorizada, prepara código y decide ejecutar o enviar. RUN muestra resultado temporal sin completar el ejercicio. SUBMIT revalida la admisión, verifica pruebas y confirma intento, resultado y eventos de forma atómica. Un reintento crea evidencia nueva; repetir clave y contenido recupera la misma operación. La ayuda posterior sigue como extensión pendiente.</w:t>
      </w:r>
    </w:p>
    <w:p w14:paraId="462DBFD5" w14:textId="77777777" w:rsidR="007D0803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3F325484" wp14:editId="08E122B9">
            <wp:extent cx="5321808" cy="5887250"/>
            <wp:effectExtent l="0" t="0" r="0" b="0"/>
            <wp:docPr id="2002" name="alunza_business_2.png" descr="Figura 2. TO-BE: RUN ofrece práctica; SUBMIT confirma un intento persistid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nza_business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808" cy="588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33E8" w14:textId="77777777" w:rsidR="007D0803" w:rsidRDefault="00000000">
      <w:pPr>
        <w:spacing w:after="110" w:line="240" w:lineRule="auto"/>
      </w:pPr>
      <w:r>
        <w:rPr>
          <w:rFonts w:ascii="Calibri" w:hAnsi="Calibri"/>
          <w:b/>
          <w:sz w:val="20"/>
          <w:szCs w:val="20"/>
        </w:rPr>
        <w:t xml:space="preserve">Figura 2. Práctica y confirmación local de IMP-03; la ayuda posterior es una extensión pendiente.</w:t>
      </w:r>
    </w:p>
    <w:p w14:paraId="024529D8" w14:textId="77777777" w:rsidR="007D0803" w:rsidRDefault="00000000">
      <w:pPr>
        <w:spacing w:after="110" w:line="240" w:lineRule="auto"/>
      </w:pPr>
      <w:r>
        <w:rPr>
          <w:rFonts w:ascii="Calibri" w:hAnsi="Calibri"/>
          <w:sz w:val="19"/>
          <w:szCs w:val="19"/>
        </w:rPr>
        <w:t>ALZ-RF/CU-007–011 y 014; ALZ-MF-006–008. La ayuda se enlaza con PN-03 y el progreso con PN-04.</w:t>
      </w:r>
    </w:p>
    <w:p w14:paraId="3262FFCA" w14:textId="77777777" w:rsidR="007D0803" w:rsidRDefault="00000000">
      <w:pPr>
        <w:keepNext/>
        <w:pageBreakBefore/>
        <w:spacing w:after="110" w:line="240" w:lineRule="auto"/>
      </w:pPr>
      <w:r>
        <w:rPr>
          <w:rFonts w:ascii="Calibri" w:hAnsi="Calibri"/>
          <w:b/>
          <w:sz w:val="24"/>
          <w:szCs w:val="24"/>
        </w:rPr>
        <w:lastRenderedPageBreak/>
        <w:t>4 Material autorizado y ayuda contextual</w:t>
      </w:r>
    </w:p>
    <w:p w14:paraId="1AFBA455" w14:textId="77777777" w:rsidR="007D0803" w:rsidRDefault="00000000">
      <w:pPr>
        <w:spacing w:after="110" w:line="240" w:lineRule="auto"/>
      </w:pPr>
      <w:r>
        <w:rPr>
          <w:rFonts w:ascii="Calibri" w:hAnsi="Calibri"/>
          <w:sz w:val="21"/>
          <w:szCs w:val="21"/>
        </w:rPr>
        <w:t xml:space="preserve">Diseño objetivo: el docente carga fuentes oficiales para su clase y ADMIN gobierna las fuentes autorizadas. La ingestión valida, extrae, fragmenta e indexa de forma independiente de los intentos. La ayuda requiere un intento propio confirmado y permisos vigentes; puede solicitarse aun cuando el corpus esté vacío, caso en que corresponde NO_EVIDENCE. Una dependencia caída se informa como PROVIDER_UNAVAILABLE. Materiales y ayuda de producto siguen pendientes al cierre de IMP-03.</w:t>
      </w:r>
    </w:p>
    <w:p w14:paraId="42DC00FC" w14:textId="77777777" w:rsidR="007D0803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3FFDD3B8" wp14:editId="07B022BF">
            <wp:extent cx="5321808" cy="5022456"/>
            <wp:effectExtent l="0" t="0" r="0" b="0"/>
            <wp:docPr id="2003" name="alunza_business_3.png" descr="Figura 3. TO-BE: fuentes autorizadas e intento confirmado sustentan la ayud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nza_business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808" cy="502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8E8E" w14:textId="77777777" w:rsidR="007D0803" w:rsidRDefault="00000000">
      <w:pPr>
        <w:spacing w:after="110" w:line="240" w:lineRule="auto"/>
      </w:pPr>
      <w:r>
        <w:rPr>
          <w:rFonts w:ascii="Calibri" w:hAnsi="Calibri"/>
          <w:b/>
          <w:sz w:val="20"/>
          <w:szCs w:val="20"/>
        </w:rPr>
        <w:t>Figura 3. TO-BE: ingestión independiente y ayuda con evidencia autorizada o fallback explícito.</w:t>
      </w:r>
    </w:p>
    <w:p w14:paraId="684F8A3E" w14:textId="77777777" w:rsidR="007D0803" w:rsidRDefault="00000000">
      <w:pPr>
        <w:spacing w:after="110" w:line="240" w:lineRule="auto"/>
      </w:pPr>
      <w:r>
        <w:rPr>
          <w:rFonts w:ascii="Calibri" w:hAnsi="Calibri"/>
          <w:sz w:val="19"/>
          <w:szCs w:val="19"/>
        </w:rPr>
        <w:t>ALZ-RF/CU-006, 012, 013 y 025; ALZ-MF-005 y 009. PN-02 aporta el intento confirmado.</w:t>
      </w:r>
    </w:p>
    <w:p w14:paraId="4E775041" w14:textId="77777777" w:rsidR="007D0803" w:rsidRDefault="00000000">
      <w:pPr>
        <w:keepNext/>
        <w:pageBreakBefore/>
        <w:spacing w:after="110" w:line="240" w:lineRule="auto"/>
      </w:pPr>
      <w:r>
        <w:rPr>
          <w:rFonts w:ascii="Calibri" w:hAnsi="Calibri"/>
          <w:b/>
          <w:sz w:val="24"/>
          <w:szCs w:val="24"/>
        </w:rPr>
        <w:lastRenderedPageBreak/>
        <w:t>5 Progreso, señales y revisión docente</w:t>
      </w:r>
    </w:p>
    <w:p w14:paraId="524E9E63" w14:textId="77777777" w:rsidR="007D0803" w:rsidRDefault="00000000">
      <w:pPr>
        <w:spacing w:after="110" w:line="240" w:lineRule="auto"/>
      </w:pPr>
      <w:r>
        <w:rPr>
          <w:rFonts w:ascii="Calibri" w:hAnsi="Calibri"/>
          <w:sz w:val="21"/>
          <w:szCs w:val="21"/>
        </w:rPr>
        <w:t xml:space="preserve">El progreso propio por actividad está probado localmente y se calcula desde intentos confirmados; RF-015 permanece parcial porque falta el progreso por concepto. Tableros, detalle docente, señales y revisión siguen como diseño objetivo. Las señales usarán reglas versionadas y evidencia comparable. Abrirlas no modifica ACTIVE; marcar REVIEWED requerirá confirmación explícita y permiso vigente. El docente decide el acompañamiento; REVIEWED no demostrará resolución ni aprendizaje.</w:t>
      </w:r>
    </w:p>
    <w:p w14:paraId="2D1F0E76" w14:textId="77777777" w:rsidR="007D0803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0B31B841" wp14:editId="0D76584E">
            <wp:extent cx="5321808" cy="5022456"/>
            <wp:effectExtent l="0" t="0" r="0" b="0"/>
            <wp:docPr id="2004" name="alunza_business_4.png" descr="Figura 4. TO-BE: la evidencia determinista informa progreso y revisión human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nza_business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1808" cy="502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9E2F" w14:textId="77777777" w:rsidR="007D0803" w:rsidRDefault="00000000">
      <w:pPr>
        <w:spacing w:after="110" w:line="240" w:lineRule="auto"/>
      </w:pPr>
      <w:r>
        <w:rPr>
          <w:rFonts w:ascii="Calibri" w:hAnsi="Calibri"/>
          <w:b/>
          <w:sz w:val="20"/>
          <w:szCs w:val="20"/>
        </w:rPr>
        <w:t xml:space="preserve">Figura 4. Progreso por actividad disponible; progreso por concepto, señales y revisión como TO-BE pendiente.</w:t>
      </w:r>
    </w:p>
    <w:p w14:paraId="4A133855" w14:textId="77777777" w:rsidR="007D0803" w:rsidRDefault="00000000">
      <w:pPr>
        <w:spacing w:after="110" w:line="240" w:lineRule="auto"/>
      </w:pPr>
      <w:r>
        <w:rPr>
          <w:rFonts w:ascii="Calibri" w:hAnsi="Calibri"/>
          <w:sz w:val="19"/>
          <w:szCs w:val="19"/>
        </w:rPr>
        <w:t>ALZ-RF/CU-015–019 y 026; ALZ-MF-010–012. RF/CU-027 se desarrolla como control transversal de auditoría operativa en la sección 7.</w:t>
      </w:r>
    </w:p>
    <w:p w14:paraId="5E64E4C0" w14:textId="77777777" w:rsidR="007D0803" w:rsidRDefault="00000000">
      <w:pPr>
        <w:keepNext/>
        <w:pageBreakBefore/>
        <w:spacing w:after="110" w:line="240" w:lineRule="auto"/>
      </w:pPr>
      <w:r>
        <w:rPr>
          <w:rFonts w:ascii="Calibri" w:hAnsi="Calibri"/>
          <w:b/>
          <w:sz w:val="24"/>
          <w:szCs w:val="24"/>
        </w:rPr>
        <w:lastRenderedPageBreak/>
        <w:t>6 Entradas salidas y controles por proceso</w:t>
      </w:r>
    </w:p>
    <w:p w14:paraId="5FA88BB7" w14:textId="77777777" w:rsidR="007D0803" w:rsidRDefault="00000000">
      <w:pPr>
        <w:keepNext/>
        <w:spacing w:after="110" w:line="240" w:lineRule="auto"/>
      </w:pPr>
      <w:r>
        <w:rPr>
          <w:rFonts w:ascii="Calibri" w:hAnsi="Calibri"/>
          <w:b/>
        </w:rPr>
        <w:t>PN-01 Habilitación institucional y publicación docente</w:t>
      </w:r>
    </w:p>
    <w:p w14:paraId="6004CFE2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Entradas: Organización autorizada; cuenta y membresía ACTIVE; curso, docente y conceptos válidos; ejercicios con pruebas; fechas coherentes.</w:t>
      </w:r>
    </w:p>
    <w:p w14:paraId="33A7FA3A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Salidas: Clase con profesor y estudiantes autorizados; actividad PUBLISHED con versiones fijas, orden y ejercicios requeridos; cambios auditados.</w:t>
      </w:r>
    </w:p>
    <w:p w14:paraId="4E3756D7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• La inscripción se confirma explícitamente y es idempotente. Código vencido, revocado o de otra organización no genera acceso.</w:t>
      </w:r>
    </w:p>
    <w:p w14:paraId="3C0B52CB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• DRAFT → PUBLISHED → CLOSED es la secuencia admitida; no hay reapertura. La ventana de disponibilidad usa apertura inclusiva y cierre exclusivo.</w:t>
      </w:r>
    </w:p>
    <w:p w14:paraId="197403AD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• El profesor solo publica en clases autorizadas; ADMIN gobierna estructura sin adquirir facultades docentes por ese rol. Los ejercicios y conceptos archivados conservan historia y bloquean nuevas asociaciones/publicaciones.</w:t>
      </w:r>
    </w:p>
    <w:p w14:paraId="12BDB3BB" w14:textId="3BD76FC9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 xml:space="preserve">Estado al corte: identidad, estructura, inscripción, banco, publicación y editor están integrados; IMP-03 completa RF-005/007 con la admisión y consulta de evidencia tras el cierre. RF-024 continúa parcial. La inscripción puede ocurrir antes o después de preparar la actividad; las condiciones vigentes deben cumplirse para resolver.</w:t>
      </w:r>
    </w:p>
    <w:p w14:paraId="12A4C309" w14:textId="77777777" w:rsidR="007D0803" w:rsidRDefault="00000000">
      <w:pPr>
        <w:keepNext/>
        <w:spacing w:after="110" w:line="240" w:lineRule="auto"/>
      </w:pPr>
      <w:r>
        <w:rPr>
          <w:rFonts w:ascii="Calibri" w:hAnsi="Calibri"/>
          <w:b/>
        </w:rPr>
        <w:t>PN-02 Práctica, envío y conservación de evidencia</w:t>
      </w:r>
    </w:p>
    <w:p w14:paraId="55DAE94A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Entradas: Inscripción vigente; actividad disponible; asignación y versión de ejercicio; código estudiantil; identidad de la operación de envío.</w:t>
      </w:r>
    </w:p>
    <w:p w14:paraId="4A349E7D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Salidas: Resultado temporal RUN o intento SUBMIT confirmado con evidencia determinista e historial propio. Borrador conservado ante rechazo o fallo.</w:t>
      </w:r>
    </w:p>
    <w:p w14:paraId="5FB0FCBF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 xml:space="preserve">• Admisión y cierre se serializan con el bloqueo institucional. La operación admitida antes del cierre puede terminar y persistir después; las admisiones posteriores se rechazan. Esta carrera fue probada localmente en IMP-03. Entregar y consultar resultados exige revalidar permisos actuales.</w:t>
      </w:r>
    </w:p>
    <w:p w14:paraId="23DD1556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• El diagnóstico es uno de SUCCESS, SYNTAX_ERROR, RUNTIME_ERROR, FAILED_TEST, TIMEOUT o UNKNOWN. La falla operativa se distingue del error de aprendizaje; no se inventa una causa conceptual.</w:t>
      </w:r>
    </w:p>
    <w:p w14:paraId="738857EF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• El código se ejecuta fuera de la API con límites y pruebas ocultas protegidas. La IA no modifica el diagnóstico. No se solicita ayuda ligada al intento mientras el SUBMIT esté pendiente o sin persistencia confirmada.</w:t>
      </w:r>
    </w:p>
    <w:p w14:paraId="50A267E8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 xml:space="preserve">Estado al corte: RUN/SUBMIT local, diagnóstico, intentos inmutables, historial, reintentos e historia propia tras CLOSED están integrados y probados en IMP-03. RUN no crea intento. SUBMIT conserva evidencia normalizada y recupera un commit fallido sin volver a ejecutar código. RF-010 continúa parcial por la ayuda real HU-010-E4. Vercel Sandbox productivo y sus mediciones siguen pendientes.</w:t>
      </w:r>
    </w:p>
    <w:p w14:paraId="50A267E8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 xml:space="preserve">Control técnico del proceso: El ejecutor local usa QuickJS/WASM y un supervisor confiable para invocar solve o module.exports.solve y emitir el retorno, con cgroup v2 y limpieza verificada. Los máximos son 134217728 bytes, 3000 ms acumulados y 65536 bytes de salida; cada versión puede reducirlos. Memoria inferior a 6 MiB produce UNKNOWN/CAPABILITY_GAP sin ejecutar ni elevar el límite; los límites viables se redondean hacia abajo a páginas de 4096 bytes. El puente de confianza sigue usando UID0 y CAP_SETUID, CAP_SETGID y CAP_SETPCAP; el proceso estudiantil usa UID10001 y capacidades cero. No se describe todo el contenedor como carente de privilegios. La regresión de falsificación de retorno aprobó en IMP-03; Vercel Sandbox conserva pendiente su validación remota.</w:t>
      </w:r>
    </w:p>
    <w:p w14:paraId="01790155" w14:textId="77777777" w:rsidR="007D0803" w:rsidRDefault="00000000">
      <w:pPr>
        <w:keepNext/>
        <w:spacing w:after="110" w:line="240" w:lineRule="auto"/>
      </w:pPr>
      <w:r>
        <w:rPr>
          <w:rFonts w:ascii="Calibri" w:hAnsi="Calibri"/>
          <w:b/>
        </w:rPr>
        <w:t>PN-03 Material autorizado y ayuda contextual</w:t>
      </w:r>
    </w:p>
    <w:p w14:paraId="1A34C963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Entradas: Para ingestión, PDF con texto, TXT o Markdown hasta 10 MB, metadatos y permiso de clase. Para ayuda, intento persistido propio, permisos vigentes y nivel disponible; el conjunto de fuentes autorizadas puede estar vacío.</w:t>
      </w:r>
    </w:p>
    <w:p w14:paraId="761E9495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Salidas: Corpus utilizable versionado; explicación/pista con referencias autorizadas o NO_EVIDENCE / PROVIDER_UNAVAILABLE. El intento y su diagnóstico permanecen intactos.</w:t>
      </w:r>
    </w:p>
    <w:p w14:paraId="0E37179F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• Se rechaza PDF sin texto; no se aplica OCR ni se publica un índice parcial tras una ingesta fallida. Configuración base: 500 tokens, solapamiento 50 y top-k 5 con filtrado por permisos.</w:t>
      </w:r>
    </w:p>
    <w:p w14:paraId="7291F7D0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• La ayuda contractual contiene diagnosis_code, explanation, hint, source_refs y status, sin score. SUPPORTED exige una referencia pertinente validada. NO_EVIDENCE significa falta de sustento documental y referencias vacías; PROVIDER_UNAVAILABLE expresa proveedor, BD o índice indisponible, timeout o salida descartada. No confundir una falla de servicio con ausencia de documentos.</w:t>
      </w:r>
    </w:p>
    <w:p w14:paraId="64DCEA96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 xml:space="preserve">• Propuesta de specs/08: orientación conceptual, pregunta dirigida y guía del siguiente paso/pseudocódigo parcial. Cantidad, contenido y progresión deben ratificarse en DEC-010. No se entrega de inmediato una solución completa ni se interpreta mostrar ayuda como comprensión o mejora de aprendizaje.</w:t>
      </w:r>
    </w:p>
    <w:p w14:paraId="0A20586F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 xml:space="preserve">• Regla objetivo: una caída de IA no debe borrar intentos ni alterar progreso. El historial estudiantil propio tras CLOSED está implementado y probado con autorización vigente; conservarlo no habilita nuevos envíos. La integración de ayuda real permanece pendiente.</w:t>
      </w:r>
    </w:p>
    <w:p w14:paraId="15ED48EF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 xml:space="preserve">Estado al corte: carga/extracción/indexación y ayuda contextual de producto están pendientes. La fundación incluye un ensayo RAG con PostgreSQL/pgvector real, vectores sintéticos y fuentes preparadas; no acredita extracción PDF, fragmentación 500/50, Storage, reindexación durable ni pistas progresivas. Azure OpenAI real y la evaluación pedagógica requieren validación posterior.</w:t>
      </w:r>
    </w:p>
    <w:p w14:paraId="4B13AB8D" w14:textId="77777777" w:rsidR="007D0803" w:rsidRDefault="00000000">
      <w:pPr>
        <w:keepNext/>
        <w:spacing w:after="110" w:line="240" w:lineRule="auto"/>
      </w:pPr>
      <w:r>
        <w:rPr>
          <w:rFonts w:ascii="Calibri" w:hAnsi="Calibri"/>
          <w:b/>
        </w:rPr>
        <w:t>PN-04 Progreso, señales y revisión docente</w:t>
      </w:r>
    </w:p>
    <w:p w14:paraId="4CA918F0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Entradas: Publicaciones/versiones; inscripción y eventos; intentos confirmados; versión de regla vigente por organización/tipo; corte temporal verificable.</w:t>
      </w:r>
    </w:p>
    <w:p w14:paraId="0E2E8B6D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Salidas: Progreso por actividad/concepto con fracción completados/requeridos y acceso a evidencia; señal ACTIVE explicable cuando corresponde, o ausencia justificada; revisión REVIEWED con responsable y fecha solo tras confirmación.</w:t>
      </w:r>
    </w:p>
    <w:p w14:paraId="2AA79F14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• Progreso = asignaciones requeridas con algún intento que supera todas las verificaciones / asignaciones requeridas. RUN no completa; un fracaso posterior no borra el éxito previo. Por concepto, filtrar las asignaciones requeridas etiquetadas en la versión utilizada y contarlas una sola vez; no sumar porcentajes de conceptos. Mostrar 0/D con «sin intentos» cuando corresponda; 0/0 es no calculable y una caída de servicio no se presenta como cero.</w:t>
      </w:r>
    </w:p>
    <w:p w14:paraId="7B8E8ADE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 xml:space="preserve">• Umbrales documentados: INACTIVITY, siete días sin eventos después de la inscripción y antes del cierre; REPEATED_ERROR, mismo error en tres intentos consecutivos dentro de catorce días; STAGNATION, tres intentos del mismo ejercicio sin aumentar pruebas visibles superadas. La propuesta excluye nuevas señales de inactividad en actividades futuras o cerradas. Ventanas, comparabilidad y la interpretación no creciente siguen pendientes de DEC-005. El LLM no evalúa estas reglas.</w:t>
      </w:r>
    </w:p>
    <w:p w14:paraId="2672673A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 xml:space="preserve">• DEC-005 sigue pendiente: fijar eventos elegibles, reloj, desempates, comparabilidad, episodios y deduplicación con fixtures reproducibles. specs/14 propone incorporación, apertura explícita, ejecución completada, envío confirmado, pista concedida y lectura autenticada de feedback. Polling, refrescos automáticos y acciones del ADMIN no prueban actividad estudiantil; una ayuda fallida no cuenta como pista concedida. Son propuestas de diseño, sin motor ni aprobación acreditados.</w:t>
      </w:r>
    </w:p>
    <w:p w14:paraId="0DEEEA39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• Solo ACTIVE y REVIEWED son estados de señal. Abrir o cancelar no modifica ACTIVE; confirmar exige revalidar el permiso docente. La revisión repetida conserva al primer revisor y su fecha. Una versión nueva de regla preserva las versiones citadas por evidencia anterior; no borra hechos ni reactiva por sí sola una señal revisada.</w:t>
      </w:r>
    </w:p>
    <w:p w14:paraId="219C517E" w14:textId="2E6D280F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 xml:space="preserve">Estado al corte: el avance por actividad y los eventos ATTEMPT_SUBMITTED / EXECUTION_COMPLETED están implementados; el éxito previo no se pierde después de un fallo. Progreso por concepto, eventos generales de aprendizaje, reglas, señales, tablero y revisión docente siguen pendientes. RF-015 permanece parcial y requiere completar su alcance antes de declararlo terminado.</w:t>
      </w:r>
    </w:p>
    <w:p w14:paraId="04EF1EE0" w14:textId="77777777" w:rsidR="007D0803" w:rsidRDefault="00000000">
      <w:pPr>
        <w:keepNext/>
        <w:pageBreakBefore/>
        <w:spacing w:after="110" w:line="240" w:lineRule="auto"/>
      </w:pPr>
      <w:r>
        <w:rPr>
          <w:rFonts w:ascii="Calibri" w:hAnsi="Calibri"/>
          <w:b/>
          <w:sz w:val="24"/>
          <w:szCs w:val="24"/>
        </w:rPr>
        <w:lastRenderedPageBreak/>
        <w:t>7 Control integral e indicadores</w:t>
      </w:r>
    </w:p>
    <w:p w14:paraId="64803184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SIPOC del proceso completo: delimita quién aporta información y quién recibe el resultado; no describe integración con terceros adicionales.</w:t>
      </w:r>
    </w:p>
    <w:tbl>
      <w:tblPr>
        <w:tblW w:w="8500" w:type="dxa"/>
        <w:tblBorders>
          <w:top w:val="single" w:sz="4" w:space="0" w:color="B6B6B6"/>
          <w:left w:val="single" w:sz="4" w:space="0" w:color="B6B6B6"/>
          <w:bottom w:val="single" w:sz="4" w:space="0" w:color="B6B6B6"/>
          <w:right w:val="single" w:sz="4" w:space="0" w:color="B6B6B6"/>
          <w:insideH w:val="single" w:sz="4" w:space="0" w:color="B6B6B6"/>
          <w:insideV w:val="single" w:sz="4" w:space="0" w:color="B6B6B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6700"/>
      </w:tblGrid>
      <w:tr w:rsidR="007D0803" w14:paraId="1D5E43E8" w14:textId="77777777">
        <w:trPr>
          <w:cantSplit/>
          <w:tblHeader/>
        </w:trPr>
        <w:tc>
          <w:tcPr>
            <w:tcW w:w="1800" w:type="dxa"/>
            <w:shd w:val="clear" w:color="auto" w:fill="F3F3F3"/>
          </w:tcPr>
          <w:p w14:paraId="24F8935C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b/>
                <w:sz w:val="20"/>
                <w:szCs w:val="20"/>
              </w:rPr>
              <w:t>Elemento</w:t>
            </w:r>
          </w:p>
        </w:tc>
        <w:tc>
          <w:tcPr>
            <w:tcW w:w="6700" w:type="dxa"/>
            <w:shd w:val="clear" w:color="auto" w:fill="F3F3F3"/>
          </w:tcPr>
          <w:p w14:paraId="6F39F44E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b/>
                <w:sz w:val="20"/>
                <w:szCs w:val="20"/>
              </w:rPr>
              <w:t>Aplicación en Alunza</w:t>
            </w:r>
          </w:p>
        </w:tc>
      </w:tr>
      <w:tr w:rsidR="007D0803" w14:paraId="52E78F2C" w14:textId="77777777">
        <w:trPr>
          <w:cantSplit/>
        </w:trPr>
        <w:tc>
          <w:tcPr>
            <w:tcW w:w="1800" w:type="dxa"/>
          </w:tcPr>
          <w:p w14:paraId="445FE097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Proveedores</w:t>
            </w:r>
          </w:p>
        </w:tc>
        <w:tc>
          <w:tcPr>
            <w:tcW w:w="6700" w:type="dxa"/>
          </w:tcPr>
          <w:p w14:paraId="2D37DB5F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ADMIN: estructura y permisos. DOCENTE: actividades, ejercicios y material autorizado. ESTUDIANTE: solución e intentos. Sistema: evidencia técnica y reglas versionadas.</w:t>
            </w:r>
          </w:p>
        </w:tc>
      </w:tr>
      <w:tr w:rsidR="007D0803" w14:paraId="1ED30A57" w14:textId="77777777">
        <w:trPr>
          <w:cantSplit/>
        </w:trPr>
        <w:tc>
          <w:tcPr>
            <w:tcW w:w="1800" w:type="dxa"/>
          </w:tcPr>
          <w:p w14:paraId="186C65A6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Entradas</w:t>
            </w:r>
          </w:p>
        </w:tc>
        <w:tc>
          <w:tcPr>
            <w:tcW w:w="6700" w:type="dxa"/>
          </w:tcPr>
          <w:p w14:paraId="118462E8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Identidad ACTIVE, pertenencia a clase, publicación disponible, versiones fijas, código, pruebas deterministas, corpus y parámetros de seguimiento.</w:t>
            </w:r>
          </w:p>
        </w:tc>
      </w:tr>
      <w:tr w:rsidR="007D0803" w14:paraId="4A8F2051" w14:textId="77777777">
        <w:trPr>
          <w:cantSplit/>
        </w:trPr>
        <w:tc>
          <w:tcPr>
            <w:tcW w:w="1800" w:type="dxa"/>
          </w:tcPr>
          <w:p w14:paraId="21407DF4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Proceso</w:t>
            </w:r>
          </w:p>
        </w:tc>
        <w:tc>
          <w:tcPr>
            <w:tcW w:w="6700" w:type="dxa"/>
          </w:tcPr>
          <w:p w14:paraId="422CC505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Habilitar → preparar/publicar e inscribir de forma independiente → consultar → practicar/enviar → conservar evidencia → ofrecer ayuda → calcular progreso → revisar seguimiento.</w:t>
            </w:r>
          </w:p>
        </w:tc>
      </w:tr>
      <w:tr w:rsidR="007D0803" w14:paraId="65A114F9" w14:textId="77777777">
        <w:trPr>
          <w:cantSplit/>
        </w:trPr>
        <w:tc>
          <w:tcPr>
            <w:tcW w:w="1800" w:type="dxa"/>
          </w:tcPr>
          <w:p w14:paraId="6FD7928C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Salidas</w:t>
            </w:r>
          </w:p>
        </w:tc>
        <w:tc>
          <w:tcPr>
            <w:tcW w:w="6700" w:type="dxa"/>
          </w:tcPr>
          <w:p w14:paraId="3C1DFDDE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Intentos e historial, diagnóstico visible, ayuda con referencias/estado, progreso explicable, señales y revisión trazada, auditoría autorizada.</w:t>
            </w:r>
          </w:p>
        </w:tc>
      </w:tr>
      <w:tr w:rsidR="007D0803" w14:paraId="79DB6D9C" w14:textId="77777777">
        <w:trPr>
          <w:cantSplit/>
        </w:trPr>
        <w:tc>
          <w:tcPr>
            <w:tcW w:w="1800" w:type="dxa"/>
          </w:tcPr>
          <w:p w14:paraId="6FAE80CD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Destinatarios</w:t>
            </w:r>
          </w:p>
        </w:tc>
        <w:tc>
          <w:tcPr>
            <w:tcW w:w="6700" w:type="dxa"/>
          </w:tcPr>
          <w:p w14:paraId="14902B57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Estudiante: apoyo y evidencia propia. DOCENTE: seguimiento de su clase. ADMIN: gobierno y auditoría de su ámbito, sin lectura pedagógica automática.</w:t>
            </w:r>
          </w:p>
        </w:tc>
      </w:tr>
    </w:tbl>
    <w:p w14:paraId="72090509" w14:textId="77777777" w:rsidR="007D0803" w:rsidRDefault="00000000">
      <w:pPr>
        <w:keepNext/>
        <w:spacing w:after="110" w:line="240" w:lineRule="auto"/>
      </w:pPr>
      <w:r>
        <w:rPr>
          <w:rFonts w:ascii="Calibri" w:hAnsi="Calibri"/>
          <w:b/>
        </w:rPr>
        <w:t>Respuestas ante excepciones</w:t>
      </w:r>
    </w:p>
    <w:tbl>
      <w:tblPr>
        <w:tblW w:w="8500" w:type="dxa"/>
        <w:tblBorders>
          <w:top w:val="single" w:sz="4" w:space="0" w:color="B6B6B6"/>
          <w:left w:val="single" w:sz="4" w:space="0" w:color="B6B6B6"/>
          <w:bottom w:val="single" w:sz="4" w:space="0" w:color="B6B6B6"/>
          <w:right w:val="single" w:sz="4" w:space="0" w:color="B6B6B6"/>
          <w:insideH w:val="single" w:sz="4" w:space="0" w:color="B6B6B6"/>
          <w:insideV w:val="single" w:sz="4" w:space="0" w:color="B6B6B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200"/>
      </w:tblGrid>
      <w:tr w:rsidR="007D0803" w14:paraId="729EAB0E" w14:textId="77777777">
        <w:trPr>
          <w:cantSplit/>
          <w:tblHeader/>
        </w:trPr>
        <w:tc>
          <w:tcPr>
            <w:tcW w:w="2300" w:type="dxa"/>
            <w:shd w:val="clear" w:color="auto" w:fill="F3F3F3"/>
          </w:tcPr>
          <w:p w14:paraId="5F1324C7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b/>
                <w:sz w:val="20"/>
                <w:szCs w:val="20"/>
              </w:rPr>
              <w:t>Excepción</w:t>
            </w:r>
          </w:p>
        </w:tc>
        <w:tc>
          <w:tcPr>
            <w:tcW w:w="6200" w:type="dxa"/>
            <w:shd w:val="clear" w:color="auto" w:fill="F3F3F3"/>
          </w:tcPr>
          <w:p w14:paraId="7C76BF87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b/>
                <w:sz w:val="20"/>
                <w:szCs w:val="20"/>
              </w:rPr>
              <w:t>Respuesta de negocio obligatoria</w:t>
            </w:r>
          </w:p>
        </w:tc>
      </w:tr>
      <w:tr w:rsidR="007D0803" w14:paraId="715DD127" w14:textId="77777777">
        <w:trPr>
          <w:cantSplit/>
        </w:trPr>
        <w:tc>
          <w:tcPr>
            <w:tcW w:w="2300" w:type="dxa"/>
          </w:tcPr>
          <w:p w14:paraId="4C153298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Sesión, rol o pertenencia inválida</w:t>
            </w:r>
          </w:p>
        </w:tc>
        <w:tc>
          <w:tcPr>
            <w:tcW w:w="6200" w:type="dxa"/>
          </w:tcPr>
          <w:p w14:paraId="6442CA75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Denegar sin revelar datos ajenos; revalidar permisos en cada operación y al entregar resultados.</w:t>
            </w:r>
          </w:p>
        </w:tc>
      </w:tr>
      <w:tr w:rsidR="007D0803" w14:paraId="76EB43DC" w14:textId="77777777">
        <w:trPr>
          <w:cantSplit/>
        </w:trPr>
        <w:tc>
          <w:tcPr>
            <w:tcW w:w="2300" w:type="dxa"/>
          </w:tcPr>
          <w:p w14:paraId="372DBF87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Actividad cerrada o ventana vencida</w:t>
            </w:r>
          </w:p>
        </w:tc>
        <w:tc>
          <w:tcPr>
            <w:tcW w:w="6200" w:type="dxa"/>
          </w:tcPr>
          <w:p w14:paraId="71196958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No admitir nuevos envíos; preservar borrador e historia propia autorizada.</w:t>
            </w:r>
          </w:p>
        </w:tc>
      </w:tr>
      <w:tr w:rsidR="007D0803" w14:paraId="4CBAC67E" w14:textId="77777777">
        <w:trPr>
          <w:cantSplit/>
        </w:trPr>
        <w:tc>
          <w:tcPr>
            <w:tcW w:w="2300" w:type="dxa"/>
          </w:tcPr>
          <w:p w14:paraId="3A974888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Falla de persistencia</w:t>
            </w:r>
          </w:p>
        </w:tc>
        <w:tc>
          <w:tcPr>
            <w:tcW w:w="6200" w:type="dxa"/>
          </w:tcPr>
          <w:p w14:paraId="58C65BC0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No confirmar guardado ni iniciar ayuda del intento; permitir recuperación sin duplicar la operación.</w:t>
            </w:r>
          </w:p>
        </w:tc>
      </w:tr>
      <w:tr w:rsidR="007D0803" w14:paraId="44C58D3B" w14:textId="77777777">
        <w:trPr>
          <w:cantSplit/>
        </w:trPr>
        <w:tc>
          <w:tcPr>
            <w:tcW w:w="2300" w:type="dxa"/>
          </w:tcPr>
          <w:p w14:paraId="345D9F46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IA indisponible / corpus insuficiente</w:t>
            </w:r>
          </w:p>
        </w:tc>
        <w:tc>
          <w:tcPr>
            <w:tcW w:w="6200" w:type="dxa"/>
          </w:tcPr>
          <w:p w14:paraId="06B40F8F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Mostrar estado contractual y conservar resultado técnico, historial y progreso sin citas o puntajes inventados.</w:t>
            </w:r>
          </w:p>
        </w:tc>
      </w:tr>
      <w:tr w:rsidR="007D0803" w14:paraId="3F373644" w14:textId="77777777">
        <w:trPr>
          <w:cantSplit/>
        </w:trPr>
        <w:tc>
          <w:tcPr>
            <w:tcW w:w="2300" w:type="dxa"/>
          </w:tcPr>
          <w:p w14:paraId="69C7F7AF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Datos administrativos inválidos o dependencia activa</w:t>
            </w:r>
          </w:p>
        </w:tc>
        <w:tc>
          <w:tcPr>
            <w:tcW w:w="6200" w:type="dxa"/>
          </w:tcPr>
          <w:p w14:paraId="3775D9F4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Conservar entidad previa, señalar qué corregir y bloquear archivo/eliminación que rompa historia.</w:t>
            </w:r>
          </w:p>
        </w:tc>
      </w:tr>
      <w:tr w:rsidR="007D0803" w14:paraId="3C900810" w14:textId="77777777">
        <w:trPr>
          <w:cantSplit/>
        </w:trPr>
        <w:tc>
          <w:tcPr>
            <w:tcW w:w="2300" w:type="dxa"/>
          </w:tcPr>
          <w:p w14:paraId="44299343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Evidencia insuficiente para señal</w:t>
            </w:r>
          </w:p>
        </w:tc>
        <w:tc>
          <w:tcPr>
            <w:tcW w:w="6200" w:type="dxa"/>
          </w:tcPr>
          <w:p w14:paraId="0A0352E6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No producir una conclusión pedagógica ni añadir un estado de señal ajeno al catálogo.</w:t>
            </w:r>
          </w:p>
        </w:tc>
      </w:tr>
    </w:tbl>
    <w:p w14:paraId="72090509" w14:textId="77777777" w:rsidR="007D0803" w:rsidRDefault="00000000">
      <w:pPr>
        <w:keepNext/>
        <w:spacing w:after="110" w:line="240" w:lineRule="auto"/>
      </w:pPr>
      <w:r>
        <w:rPr>
          <w:rFonts w:ascii="Calibri" w:hAnsi="Calibri"/>
          <w:b/>
        </w:rPr>
        <w:t>Control transversal de auditoría operativa</w:t>
      </w:r>
    </w:p>
    <w:p w14:paraId="0D97E863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 xml:space="preserve">En el proceso objetivo, ADMIN consulta los registros de su organización por fecha, actor, acción y entidad, con paginación. Exporta la misma vista filtrada en CSV UTF-8 con actor, fecha, acción, entidad, identificador y resultado, y registra la descarga. Sin filas genera encabezados, alcance y sello temporal; con fechas inválidas o exceso del límite rechaza o pide acotar filtros, sin presentar un CSV parcial como completo. Excluye credenciales, código estudiantil, prompts y pruebas ocultas. RF/CU-027 permanece pendiente de implementación y verificación al cierre de IMP-03; la auditoría técnica de cambios ya disponible no completa este requisito.</w:t>
      </w:r>
    </w:p>
    <w:p w14:paraId="7C9224BA" w14:textId="77777777" w:rsidR="007D0803" w:rsidRDefault="00000000">
      <w:pPr>
        <w:keepNext/>
        <w:pageBreakBefore/>
        <w:spacing w:after="110" w:line="240" w:lineRule="auto"/>
      </w:pPr>
      <w:r>
        <w:rPr>
          <w:rFonts w:ascii="Calibri" w:hAnsi="Calibri"/>
          <w:b/>
        </w:rPr>
        <w:lastRenderedPageBreak/>
        <w:t>Indicadores propuestos</w:t>
      </w:r>
    </w:p>
    <w:p w14:paraId="0D97E863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Los siguientes indicadores son medibles. Sus objetivos proceden de la ERS o se identifican como control propuesto. No se presentan mejoras de aprendizaje ni reducciones del trabajo docente ya alcanzadas.</w:t>
      </w:r>
    </w:p>
    <w:tbl>
      <w:tblPr>
        <w:tblW w:w="8500" w:type="dxa"/>
        <w:tblBorders>
          <w:top w:val="single" w:sz="4" w:space="0" w:color="B6B6B6"/>
          <w:left w:val="single" w:sz="4" w:space="0" w:color="B6B6B6"/>
          <w:bottom w:val="single" w:sz="4" w:space="0" w:color="B6B6B6"/>
          <w:right w:val="single" w:sz="4" w:space="0" w:color="B6B6B6"/>
          <w:insideH w:val="single" w:sz="4" w:space="0" w:color="B6B6B6"/>
          <w:insideV w:val="single" w:sz="4" w:space="0" w:color="B6B6B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100"/>
      </w:tblGrid>
      <w:tr w:rsidR="007D0803" w14:paraId="5C036D89" w14:textId="77777777">
        <w:trPr>
          <w:cantSplit/>
          <w:tblHeader/>
        </w:trPr>
        <w:tc>
          <w:tcPr>
            <w:tcW w:w="1800" w:type="dxa"/>
            <w:shd w:val="clear" w:color="auto" w:fill="F3F3F3"/>
          </w:tcPr>
          <w:p w14:paraId="17BAD856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b/>
                <w:sz w:val="20"/>
                <w:szCs w:val="20"/>
              </w:rPr>
              <w:t>Indicador</w:t>
            </w:r>
          </w:p>
        </w:tc>
        <w:tc>
          <w:tcPr>
            <w:tcW w:w="3600" w:type="dxa"/>
            <w:shd w:val="clear" w:color="auto" w:fill="F3F3F3"/>
          </w:tcPr>
          <w:p w14:paraId="760A21D2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b/>
                <w:sz w:val="20"/>
                <w:szCs w:val="20"/>
              </w:rPr>
              <w:t>Medición / criterio</w:t>
            </w:r>
          </w:p>
        </w:tc>
        <w:tc>
          <w:tcPr>
            <w:tcW w:w="3100" w:type="dxa"/>
            <w:shd w:val="clear" w:color="auto" w:fill="F3F3F3"/>
          </w:tcPr>
          <w:p w14:paraId="7DC07989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b/>
                <w:sz w:val="20"/>
                <w:szCs w:val="20"/>
              </w:rPr>
              <w:t>Estado al corte</w:t>
            </w:r>
          </w:p>
        </w:tc>
      </w:tr>
      <w:tr w:rsidR="007D0803" w14:paraId="47F4872C" w14:textId="77777777">
        <w:trPr>
          <w:cantSplit/>
        </w:trPr>
        <w:tc>
          <w:tcPr>
            <w:tcW w:w="1800" w:type="dxa"/>
          </w:tcPr>
          <w:p w14:paraId="0A8E08D9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Latencia de ejecución completa</w:t>
            </w:r>
          </w:p>
        </w:tc>
        <w:tc>
          <w:tcPr>
            <w:tcW w:w="3600" w:type="dxa"/>
          </w:tcPr>
          <w:p w14:paraId="05F62BC7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p95 de tiempo total desde solicitud hasta resultado confirmado, bajo perfil documentado; objetivo &lt;5 s.</w:t>
            </w:r>
          </w:p>
        </w:tc>
        <w:tc>
          <w:tcPr>
            <w:tcW w:w="3100" w:type="dxa"/>
          </w:tcPr>
          <w:p w14:paraId="4FFA1495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Probado localmente en IMP-03: SUBMIT p95 3502,71 ms con cuatro alumnos concurrentes; perfiles y muestras registrados. Validación remota pendiente.</w:t>
            </w:r>
          </w:p>
        </w:tc>
      </w:tr>
      <w:tr w:rsidR="007D0803" w14:paraId="078E3799" w14:textId="77777777">
        <w:trPr>
          <w:cantSplit/>
        </w:trPr>
        <w:tc>
          <w:tcPr>
            <w:tcW w:w="1800" w:type="dxa"/>
          </w:tcPr>
          <w:p w14:paraId="0AF2842C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Latencia interfaz/API y ayuda IA</w:t>
            </w:r>
          </w:p>
        </w:tc>
        <w:tc>
          <w:tcPr>
            <w:tcW w:w="3600" w:type="dxa"/>
          </w:tcPr>
          <w:p w14:paraId="14C52FA7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p95 &lt;3 s para interfaz/API; p95 IA &lt;12 s, según alcance de cada medición.</w:t>
            </w:r>
          </w:p>
        </w:tc>
        <w:tc>
          <w:tcPr>
            <w:tcW w:w="3100" w:type="dxa"/>
          </w:tcPr>
          <w:p w14:paraId="6BC1DED3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Pendiente de verificación remota bajo condiciones de piloto.</w:t>
            </w:r>
          </w:p>
        </w:tc>
      </w:tr>
      <w:tr w:rsidR="007D0803" w14:paraId="0B781A54" w14:textId="77777777">
        <w:trPr>
          <w:cantSplit/>
        </w:trPr>
        <w:tc>
          <w:tcPr>
            <w:tcW w:w="1800" w:type="dxa"/>
          </w:tcPr>
          <w:p w14:paraId="75F78E45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Confirmaciones íntegras</w:t>
            </w:r>
          </w:p>
        </w:tc>
        <w:tc>
          <w:tcPr>
            <w:tcW w:w="3600" w:type="dxa"/>
          </w:tcPr>
          <w:p w14:paraId="3519D4EB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Intentos confirmados con código, resultado y eventos persistidos / total de confirmaciones. Control propuesto: 100% en fixtures.</w:t>
            </w:r>
          </w:p>
        </w:tc>
        <w:tc>
          <w:tcPr>
            <w:tcW w:w="3100" w:type="dxa"/>
          </w:tcPr>
          <w:p w14:paraId="3B0A0BEB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Verificado localmente con 100 envíos SUBMIT confirmados y persistidos, además de pruebas de rollback y recuperación. No es una medición de producción.</w:t>
            </w:r>
          </w:p>
        </w:tc>
      </w:tr>
      <w:tr w:rsidR="007D0803" w14:paraId="7C70D798" w14:textId="77777777">
        <w:trPr>
          <w:cantSplit/>
        </w:trPr>
        <w:tc>
          <w:tcPr>
            <w:tcW w:w="1800" w:type="dxa"/>
          </w:tcPr>
          <w:p w14:paraId="1996C7D5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Progreso reproducible</w:t>
            </w:r>
          </w:p>
        </w:tc>
        <w:tc>
          <w:tcPr>
            <w:tcW w:w="3600" w:type="dxa"/>
          </w:tcPr>
          <w:p w14:paraId="487CFC83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Cálculos coincidentes con oráculo de fixtures / casos verificados. Control propuesto: 100% de casos del conjunto acordado.</w:t>
            </w:r>
          </w:p>
        </w:tc>
        <w:tc>
          <w:tcPr>
            <w:tcW w:w="3100" w:type="dxa"/>
          </w:tcPr>
          <w:p w14:paraId="7DF00806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 xml:space="preserve">Probado para actividad: RUN no completa, éxito persistente, ratio NULL sin requeridos y error explícito ante falla. Progreso por concepto pendiente.</w:t>
            </w:r>
          </w:p>
        </w:tc>
      </w:tr>
      <w:tr w:rsidR="007D0803" w14:paraId="6CDCBF63" w14:textId="77777777">
        <w:trPr>
          <w:cantSplit/>
        </w:trPr>
        <w:tc>
          <w:tcPr>
            <w:tcW w:w="1800" w:type="dxa"/>
          </w:tcPr>
          <w:p w14:paraId="100BE785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Trazabilidad de señal y revisión</w:t>
            </w:r>
          </w:p>
        </w:tc>
        <w:tc>
          <w:tcPr>
            <w:tcW w:w="3600" w:type="dxa"/>
          </w:tcPr>
          <w:p w14:paraId="33BD9230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Señales con hechos, causa y versión; revisiones con responsable/fecha / registros del conjunto. Control propuesto: 100%.</w:t>
            </w:r>
          </w:p>
        </w:tc>
        <w:tc>
          <w:tcPr>
            <w:tcW w:w="3100" w:type="dxa"/>
          </w:tcPr>
          <w:p w14:paraId="0A9E101C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Motor y revisión pendientes; exige hechos y versión trazables.</w:t>
            </w:r>
          </w:p>
        </w:tc>
      </w:tr>
      <w:tr w:rsidR="007D0803" w14:paraId="430AA310" w14:textId="77777777">
        <w:trPr>
          <w:cantSplit/>
        </w:trPr>
        <w:tc>
          <w:tcPr>
            <w:tcW w:w="1800" w:type="dxa"/>
          </w:tcPr>
          <w:p w14:paraId="6BA72229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Uso de ayuda y revisión docente</w:t>
            </w:r>
          </w:p>
        </w:tc>
        <w:tc>
          <w:tcPr>
            <w:tcW w:w="3600" w:type="dxa"/>
          </w:tcPr>
          <w:p w14:paraId="05D68000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Ayudas mostradas por intento. Para revisión, señales REVIEWED al corte / total de señales de la misma cohorte emitida en el período y clase. Sin denominador, informar «no calculable».</w:t>
            </w:r>
          </w:p>
        </w:tc>
        <w:tc>
          <w:tcPr>
            <w:tcW w:w="3100" w:type="dxa"/>
          </w:tcPr>
          <w:p w14:paraId="10F93248" w14:textId="77777777" w:rsidR="007D0803" w:rsidRDefault="00000000">
            <w:pPr>
              <w:spacing w:after="60" w:line="240" w:lineRule="auto"/>
            </w:pPr>
            <w:r>
              <w:rPr>
                <w:rFonts w:ascii="Calibri" w:hAnsi="Calibri"/>
                <w:sz w:val="20"/>
                <w:szCs w:val="20"/>
              </w:rPr>
              <w:t>Propuesto para piloto, sin meta alcanzada. La misma cohorte evita mezclar señales antiguas y nuevas; no mide comprensión ni eficacia.</w:t>
            </w:r>
          </w:p>
        </w:tc>
      </w:tr>
    </w:tbl>
    <w:p w14:paraId="0A1E6B6A" w14:textId="77777777" w:rsidR="007D0803" w:rsidRDefault="00000000">
      <w:pPr>
        <w:keepNext/>
        <w:spacing w:after="110" w:line="240" w:lineRule="auto"/>
      </w:pPr>
      <w:r>
        <w:rPr>
          <w:rFonts w:ascii="Calibri" w:hAnsi="Calibri"/>
          <w:b/>
          <w:sz w:val="24"/>
          <w:szCs w:val="24"/>
        </w:rPr>
        <w:t>8 Fuentes y alcance de validación</w:t>
      </w:r>
    </w:p>
    <w:p w14:paraId="4C0B89BD" w14:textId="77777777" w:rsidR="007D0803" w:rsidRDefault="00000000">
      <w:pPr>
        <w:spacing w:after="110" w:line="240" w:lineRule="auto"/>
      </w:pPr>
      <w:r>
        <w:rPr>
          <w:rFonts w:ascii="Calibri" w:hAnsi="Calibri"/>
          <w:sz w:val="20"/>
          <w:szCs w:val="20"/>
        </w:rPr>
        <w:t>La ERS 1.3 conserva la autoridad técnica y numeración RF/HU/CU/PT del 001 al 027. Los diagramas no sustituyen los escenarios de éxito, rechazo y falla ni la aceptación académica.</w:t>
      </w:r>
    </w:p>
    <w:p w14:paraId="71AFF565" w14:textId="4FCB0F88" w:rsidR="007D0803" w:rsidRDefault="00000000">
      <w:pPr>
        <w:spacing w:after="110" w:line="240" w:lineRule="auto"/>
      </w:pPr>
      <w:r>
        <w:rPr>
          <w:rFonts w:ascii="Calibri" w:hAnsi="Calibri"/>
          <w:sz w:val="19"/>
          <w:szCs w:val="19"/>
        </w:rPr>
        <w:t xml:space="preserve">Diseño: ERS 1.3 y Casos de Uso Extendidos de CAPSTONE Fase 1; specs/01-producto-y-alcance.md, 02-requisitos-funcionales.md y 03-flujos-y-criterios-de-aceptacion.md.</w:t>
      </w:r>
      <w:r w:rsidR="003923B0">
        <w:rPr>
          <w:rFonts w:ascii="Calibri" w:hAnsi="Calibri"/>
          <w:sz w:val="19"/>
          <w:szCs w:val="19"/>
        </w:rPr>
        <w:t/>
      </w:r>
      <w:r>
        <w:rPr>
          <w:rFonts w:ascii="Calibri" w:hAnsi="Calibri"/>
          <w:sz w:val="19"/>
          <w:szCs w:val="19"/>
        </w:rPr>
        <w:t/>
      </w:r>
    </w:p>
    <w:p w14:paraId="06660673" w14:textId="19513745" w:rsidR="007D0803" w:rsidRDefault="00000000">
      <w:pPr>
        <w:spacing w:after="110" w:line="240" w:lineRule="auto"/>
      </w:pPr>
      <w:r>
        <w:rPr>
          <w:rFonts w:ascii="Calibri" w:hAnsi="Calibri"/>
          <w:sz w:val="19"/>
          <w:szCs w:val="19"/>
        </w:rPr>
        <w:t xml:space="preserve">Corte 23/10/2026: 14/27 RF probados localmente (51,9 %), tres parciales (010/015/024) y diez pendientes. Fuentes: docs/work/IMP-03-implementation.md, IMP-03-trazabilidad.md y evidence/imp-03/README.md. IMP-02 conserva su alcance histórico del 28/09/2026.</w:t>
      </w:r>
    </w:p>
    <w:p w14:paraId="06660673" w14:textId="19513745" w:rsidR="007D0803" w:rsidRDefault="00000000">
      <w:pPr>
        <w:spacing w:after="110" w:line="240" w:lineRule="auto"/>
      </w:pPr>
      <w:r>
        <w:rPr>
          <w:rFonts w:ascii="Calibri" w:hAnsi="Calibri"/>
          <w:sz w:val="19"/>
          <w:szCs w:val="19"/>
        </w:rPr>
        <w:t xml:space="preserve">IMP-03: CI local 14/14; 675 pruebas unitarias y de contratos, 111 HTTP, 313 SQL, 78 Docker y 34 Cypress. SUBMIT: 100 envíos confirmados y persistidos; p95 concurrente de 3502,71 ms con cuatro alumnos, sin cápsulas pendientes. Integración remota y aceptación académica pendientes.</w:t>
      </w:r>
    </w:p>
    <w:p w14:paraId="13122CD7" w14:textId="77777777" w:rsidR="007D0803" w:rsidRPr="003923B0" w:rsidRDefault="00000000">
      <w:pPr>
        <w:spacing w:after="110" w:line="240" w:lineRule="auto"/>
        <w:rPr>
          <w:lang w:val="en-US"/>
        </w:rPr>
      </w:pPr>
      <w:r>
        <w:rPr>
          <w:rFonts w:ascii="Calibri" w:hAnsi="Calibri"/>
          <w:sz w:val="19"/>
          <w:szCs w:val="19"/>
          <w:lang w:val="en-US"/>
        </w:rPr>
        <w:t xml:space="preserve">Contratos ejecutables: packages/contracts/src/practice.ts y submissions.ts. Diseño y criterios: specs/05-arquitectura.md, 06-modelo-de-datos.md, 07-api-y-contratos.md y specs/08–10, 13 y 14. Materiales, ayuda y seguimiento siguen pendientes.</w:t>
      </w:r>
    </w:p>
    <w:p w14:paraId="3B4EFD63" w14:textId="56FCC07E" w:rsidR="007D0803" w:rsidRDefault="007D0803">
      <w:pPr>
        <w:spacing w:after="110" w:line="240" w:lineRule="auto"/>
      </w:pPr>
    </w:p>
    <w:sectPr w:rsidR="007D0803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B3701" w14:textId="77777777" w:rsidR="003C6BA8" w:rsidRDefault="003C6BA8">
      <w:pPr>
        <w:spacing w:after="0" w:line="240" w:lineRule="auto"/>
      </w:pPr>
      <w:r>
        <w:separator/>
      </w:r>
    </w:p>
  </w:endnote>
  <w:endnote w:type="continuationSeparator" w:id="0">
    <w:p w14:paraId="0C31B9DD" w14:textId="77777777" w:rsidR="003C6BA8" w:rsidRDefault="003C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9E39" w14:textId="77777777" w:rsidR="007D0803" w:rsidRDefault="00000000">
    <w:pPr>
      <w:spacing w:after="0" w:line="240" w:lineRule="auto"/>
      <w:jc w:val="right"/>
    </w:pPr>
    <w:r>
      <w:rPr>
        <w:rFonts w:ascii="Calibri" w:hAnsi="Calibri"/>
        <w:sz w:val="18"/>
        <w:szCs w:val="18"/>
      </w:rPr>
      <w:t xml:space="preserve">Alunza Procesos de negocio · Página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585FF" w14:textId="77777777" w:rsidR="003C6BA8" w:rsidRDefault="003C6BA8">
      <w:pPr>
        <w:spacing w:after="0" w:line="240" w:lineRule="auto"/>
      </w:pPr>
      <w:r>
        <w:separator/>
      </w:r>
    </w:p>
  </w:footnote>
  <w:footnote w:type="continuationSeparator" w:id="0">
    <w:p w14:paraId="2A15A8D7" w14:textId="77777777" w:rsidR="003C6BA8" w:rsidRDefault="003C6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00AF"/>
    <w:multiLevelType w:val="hybridMultilevel"/>
    <w:tmpl w:val="E6C24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51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E94"/>
    <w:rsid w:val="002671CD"/>
    <w:rsid w:val="003016CD"/>
    <w:rsid w:val="00301B14"/>
    <w:rsid w:val="003828C1"/>
    <w:rsid w:val="003923B0"/>
    <w:rsid w:val="003C6BA8"/>
    <w:rsid w:val="00422655"/>
    <w:rsid w:val="004B5306"/>
    <w:rsid w:val="00651D4D"/>
    <w:rsid w:val="00651DCB"/>
    <w:rsid w:val="00671DA2"/>
    <w:rsid w:val="007D0803"/>
    <w:rsid w:val="008A60D2"/>
    <w:rsid w:val="009C1472"/>
    <w:rsid w:val="00C00310"/>
    <w:rsid w:val="00C907B7"/>
    <w:rsid w:val="00CD4A42"/>
    <w:rsid w:val="00CE7E94"/>
    <w:rsid w:val="00CF3812"/>
    <w:rsid w:val="00D50384"/>
    <w:rsid w:val="00D622BD"/>
    <w:rsid w:val="00D87F12"/>
    <w:rsid w:val="00DB0CEB"/>
    <w:rsid w:val="00EC5DFC"/>
    <w:rsid w:val="00F7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A6F1E"/>
  <w15:chartTrackingRefBased/>
  <w15:docId w15:val="{80604A36-96C6-48EF-B889-965D5657175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7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2272</Words>
  <Characters>12498</Characters>
  <Application>Microsoft Office Word</Application>
  <DocSecurity>0</DocSecurity>
  <Lines>104</Lines>
  <Paragraphs>29</Paragraphs>
  <ScaleCrop>false</ScaleCrop>
  <Company/>
  <LinksUpToDate>false</LinksUpToDate>
  <CharactersWithSpaces>14741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Alunza</dc:creator>
  <cp:keywords/>
  <dc:description/>
  <cp:lastModifiedBy>Revisión documental</cp:lastModifiedBy>
  <cp:revision>25</cp:revision>
  <dcterms:created xsi:type="dcterms:W3CDTF">2021-03-14T18:26:00Z</dcterms:created>
  <dcterms:modified xsi:type="dcterms:W3CDTF">2026-10-16T19:04:53Z</dcterms:modified>
</cp:coreProperties>
</file>