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Preparación de la demostración académica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viernes 25/09/2026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Recorrido de creación y publicación de una actividad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Ventana de disponibilidad y acceso estudiantil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Evidencias necesarias para el corte de avance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demostración debe enlazar la preparación docente del contenido con la consulta autorizada del estudiante. El guion necesita comprobar composición de la actividad, versión de los ejercicios y disponibilidad temporal, además de los rechazos por falta de inscripción o permisos. Un editor con borrador no equivale a una ejecución ni a un envío persistido. Para el próximo corte se requiere reunir resultados reproducibles y separar requisitos completos de avances parciales. Las capturas y la explicación del flujo deben mostrar únicamente funciones disponibles, manteniendo los servicios remotos y la aceptación académica en sus estados correspondientes.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Demostración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Preparar un guion con pasos de administrador, profesor y estudiante y sus rechazos.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Alcance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Distinguir el borrador del editor de RUN, SUBMIT y el historial de intentos.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Evidencia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Registrar resultados, fecha y entorno antes de calcular el porcentaje de avance.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el guion técnico del incremento y sus dependencias pendientes.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29/09/2026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Ordenar los casos de prueba y los criterios de cobertura funcional.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29/09/2026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capturas del recorrido y descripciones de los estados visibles.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29/09/2026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Revisar los casos de integridad y permisos propuestos el 22 de septiembre sin atribuirles aprobación anticipada.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29/09/2026.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ERS 1.3; requisitos y criterios de aceptación del incremento académico.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316</Words>
  <Characters>1901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05 de Alunza</dc:title>
  <dc:subject>Preparación de la demostración académica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