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 Alunza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  <w:tblHeader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F2-06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Seguimiento del alcance local y de sus evidencias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Equipo Alunza</w:t>
            </w:r>
          </w:p>
        </w:tc>
      </w:tr>
      <w:tr w:rsidR="009D5E8A" w14:paraId="1A4AC5BF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martes 29/09/2026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Por confirmar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Alunza · Fase 2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 w:hRule="atLeast"/>
          <w:cantSplit/>
          <w:tblHeader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 xml:space="preserve">Equipo convocado</w:t>
            </w:r>
          </w:p>
        </w:tc>
      </w:tr>
      <w:tr w:rsidR="0006703B" w14:paraId="76992894" w14:textId="77777777" w:rsidTr="00BA052E">
        <w:trPr>
          <w:trHeight w:val="510" w:hRule="atLeast"/>
          <w:cantSplit/>
          <w:tblHeader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4DF1C233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58C8D6C7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  <w:tblHeader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Temas de revisión</w:t>
            </w:r>
          </w:p>
        </w:tc>
      </w:tr>
      <w:tr w:rsidR="004D5823" w14:paraId="53523FC5" w14:textId="77777777">
        <w:trPr>
          <w:cantSplit/>
          <w:trHeight w:val="617" w:hRule="atLeast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Resultados y límites del corte local del 28 de septiembre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Recorrido académico disponible por rol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Prioridad de ejecución y persistencia de intentos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Detalle de la reunión</w:t>
            </w:r>
          </w:p>
        </w:tc>
      </w:tr>
      <w:tr w:rsidR="004D5823" w14:paraId="4004527C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El registro técnico del 28 de septiembre sitúa el avance en nueve de veintisiete requisitos completos, equivalentes al 33,3 %. La evidencia local incluye 249 pruebas Jest, 80 HTTP, 139 comprobaciones SQL, 25 Cypress y once etapas de verificación. El recorrido disponible comprende acceso, estructura académica, inscripción, banco, publicación y editor, con avances parciales en RF-005, RF-007 y RF-024. El próximo incremento debe abordar ejecución y envío persistente. Estas cifras pertenecen al candidato documentado y no acreditan aceptación académica, despliegue remoto ni una nueva ejecución de pruebas.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 w:hRule="atLeast"/>
          <w:tblHeader/>
          <w:cantSplit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Acuerdos propuestos</w:t>
            </w:r>
          </w:p>
        </w:tc>
      </w:tr>
      <w:tr w:rsidR="004D5823" w14:paraId="68705439" w14:textId="77777777">
        <w:trPr>
          <w:trHeight w:val="255" w:hRule="atLeast"/>
          <w:tblHeader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Corte de avance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Conservar el 28 de septiembre como referencia de los resultados locales verificados.</w:t>
            </w:r>
          </w:p>
        </w:tc>
      </w:tr>
      <w:tr w:rsidR="009D5E8A" w14:paraId="062BAD99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Trazabilidad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Distinguir los nueve requisitos completos de los avances parciales y pendientes.</w:t>
            </w:r>
          </w:p>
        </w:tc>
      </w:tr>
      <w:tr w:rsidR="009D5E8A" w14:paraId="5C6FBCA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Prioridad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Abordar ejecución y persistencia antes de integrar ayuda contextual y seguimiento.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 w:hRule="atLeast"/>
          <w:tblHeader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Compromisos propuestos</w:t>
            </w:r>
          </w:p>
        </w:tc>
      </w:tr>
      <w:tr w:rsidR="004D5823" w14:paraId="1670A5B9" w14:textId="77777777">
        <w:trPr>
          <w:trHeight w:val="255" w:hRule="atLeast"/>
          <w:cantSplit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Desglosar ejecución y envío en operaciones y dependencias.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02/10/2026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</w:tr>
      <w:tr w:rsidR="004D5823" w14:paraId="0963C3C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Ordenar la evidencia necesaria para el siguiente incremento.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02/10/2026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</w:tr>
      <w:tr w:rsidR="004D5823" w14:paraId="2EF1830A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Revisar que el guion del editor describa solo acciones disponibles.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02/10/2026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Pendiente de revisión del equipo. Participación, acuerdos y compromisos por confirmar; plazos propuestos.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Contrastar el guion propuesto el 25 de septiembre con el corte local del día 28. Los compromisos individuales requieren confirmación del equipo.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Próxima sesión: viernes 02/10/2026.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Referencias: Registro y matriz de trazabilidad IMP-02, corte del 28/09/2026.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Pages>2</Pages>
  <Words>311</Words>
  <Characters>1882</Characters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06 de Alunza</dc:title>
  <dc:subject>Seguimiento del alcance local y de sus evidencias</dc:subject>
  <dc:creator/>
  <cp:keywords/>
  <cp:lastModifiedBy/>
  <cp:revision>2</cp:revision>
  <dcterms:created xsi:type="dcterms:W3CDTF">2026-10-16T19:49:31Z</dcterms:created>
  <dcterms:modified xsi:type="dcterms:W3CDTF">2026-10-16T23:25:35Z</dcterms:modified>
</cp:coreProperties>
</file>