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Preparación de ejecución y confirmación de intentos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viernes 02/10/2026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Diferencia entre RUN, SUBMIT y reintento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Persistencia, idempotencia y cierre de actividades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Aislamiento del ejecutor y protección de pruebas ocultas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El siguiente incremento requiere separar la ejecución de práctica del envío que confirma evidencia. RUN debe mostrar resultados temporales autorizados; SUBMIT debe verificar las pruebas requeridas y conservar código, versión, resultado y eventos antes de confirmar el intento. Una repetición por transporte debe recuperar la misma operación; un reintento deliberado debe generar evidencia nueva. También corresponde precisar la concurrencia entre admisión y cierre de actividad. Los ensayos locales del ejecutor no acreditan integración del producto ni validación remota. Sus brechas deben seguir identificadas en los criterios de aceptación.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Operaciones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Diferenciar RUN, SUBMIT y reintento en los contratos y las pantallas.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Persistencia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Exigir la confirmación durable del intento antes de habilitar la ayuda asociada.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Ejecutor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pendiente la aceptación del ejecutor integrado y del entorno remoto.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Precisar autorización, idempotencia y fallas de persistencia.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casos de límites y confidencialidad de pruebas ocultas.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Proponer estados de envío pendiente, confirmado y fallido.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06/10/2026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Retomar el desglose propuesto el 29 de septiembre. La incorporación de evidencias al repositorio el 30/09 no representa una nueva ejecución de pruebas.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06/10/2026.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IMP-02 y especificación de ejecución controlada del proyecto.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305</Words>
  <Characters>1905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07 de Alunza</dc:title>
  <dc:subject>Preparación de ejecución y confirmación de intentos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