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F2-09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Ayuda contextual y seguimiento docente previstos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viernes 09/10/2026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Material autorizado y estados de ayuda contextual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Separación entre diagnóstico técnico y ayuda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Progreso, revisión de señales y auditoría operativa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ayuda prevista debe consultar un intento propio confirmado y fuentes autorizadas de la clase. Un corpus vacío o insuficiente corresponde a NO_EVIDENCE; una dependencia indisponible corresponde a PROVIDER_UNAVAILABLE. Estos estados no cambian el diagnóstico determinista. El progreso debe reconstruirse desde la evidencia y las asignaciones requeridas, distinguiendo falta de evidencia y falla del servicio. Las señales requieren reglas versionadas y criterios temporales pendientes de cierre; abrir una señal no equivale a revisarla. Materiales, ayuda, progreso, señales y exportación CSV de RF-027 continúan pendientes de integración y verificación.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Ayuda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la ayuda separada del cálculo de resultados, progreso y señales.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Revisión docente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Reservar REVIEWED para confirmación explícita; abrir o cancelar conserva ACTIVE.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Auditoría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Conservar RF-027 pendiente aunque ya existan registros técnicos de auditoría.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Ordenar las dependencias de persistencia, ayuda y auditoría.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13/10/2026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Proponer casos RAG, ausencia de evidencia y reglas temporales.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13/10/2026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mensajes de ayuda indisponible y confirmación docente.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13/10/2026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Continuar el contraste de fichas y recorridos propuesto el 6 de octubre. Las reglas temporales de señales conservan sus decisiones pendientes.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13/10/2026.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Especificaciones de IA, progreso y señales; alcance pendiente de IMP-02.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303</Words>
  <Characters>1919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09 de Alunza</dc:title>
  <dc:subject>Ayuda contextual y seguimiento docente previstos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