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Revisión de brechas y cierre documental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martes 13/10/2026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Correspondencia entre alcance y evidencia local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Reglas de acceso, publicación y confidencialidad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Ajustes pendientes en arquitectura, datos y procesos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revisión debe comprobar que el alcance descrito coincida con la evidencia local disponible. Se conserva el corte técnico del 28 de septiembre y se distinguen las capacidades integradas de los componentes previstos. El contraste documental abarca autorización por organización y clase, publicación independiente de la inscripción y protección de pruebas ocultas. También requiere precisar las brechas del ejecutor y la persistencia previa a la ayuda. Estos puntos orientan la actualización de arquitectura, datos y procesos, sin atribuir nuevas funcionalidades, validaciones remotas ni aceptación docente a la revisión documental.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Evidencia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el corte del 28 de septiembre hasta disponer de nuevos resultados identificables.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Datos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Diferenciar el esquema físico implementado del modelo lógico previsto.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Procesos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Precisar las precondiciones de resolución, envío y ayuda en los tres documentos.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autorización y brechas del ejecutor para ajustar el DAS.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Contrastar las fichas con migraciones y revisar los estados RAG.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recorridos, leyendas y términos de los diagramas.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16/10/2026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Revisar los casos de ayuda y seguimiento propuestos el 9 de octubre. Toda nueva decisión debe conservar su estado y criterio de aceptación.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viernes 16/10/2026.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IMP-02; contratos y especificaciones vigentes del proyecto.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307</Words>
  <Characters>1875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10 de Alunza</dc:title>
  <dc:subject>Revisión de brechas y cierre documental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