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-alunza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  <w:b/>
        </w:rPr>
        <w:t>Alunza · Equipo Marcelo Núñez, Benjamin Pérez y Abraham Retamal · Revisión documental 23/10/2026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Alunza es un tutor universitario web para Programación I con JavaScript. Al 23/10/2026, IMP-03 acredita 14/27 requisitos completos y probados localmente (51,9 %). El alcance mantiene 27 requisitos Must; aumentó la cobertura verificada. RF-010/015/024 son parciales y diez requisitos siguen pendientes. La aceptación académica se registra por separado.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La base institucional y académica se amplió con RUN temporal, SUBMIT persistente, diagnóstico, historial, comparación, reintento y avance por actividad. El Diccionario registra 25 tablas físicas y 292 atributos en cuatro migraciones. VISIBLE expone sólo pruebas autorizadas; HIDDEN permanece protegido. Publicar e inscribir son independientes; resolver requiere ambas condiciones y disponibilidad.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El corte local del 23/10 aprobó 675 pruebas unitarias y de contratos, 111 HTTP, 313 pgTAP, 78 casos Docker y 34 recorridos Cypress, con 14 controles de CI aprobados. SUBMIT concurrente obtuvo p95 de 3502,71 ms, inferior a 5000 ms. Son resultados del candidato IMP-03; no acreditan un piloto real, despliegue remoto ni aceptación docente.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Esta guía incorpora DAS 1.2, Diccionario de Datos 1.3 y Documento de Proceso de Negocio 1.2, revisados el 23/10/2026. Siguen pendientes materiales, ayuda IA/RAG, progreso por concepto, señales, tablero, gobierno integral y validaciones Azure/Sandbox. RF-010 requiere HU-010-E4 con ayuda real. No hay retroalimentación docente reciente.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Se mantiene el objetivo general de desarrollar y validar un MVP web de tutoría para Programación I con evaluación determinista, feedback progresivo sustentado en material autorizado y seguimiento docente explicable. El alcance continúa centrado en JavaScript y en roles ADMIN, TEACHER y STUDENT; no se incorporan LMS completo, apoderados, pagos ni calificación de alto impacto.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El ajuste operativo se apoya en la práctica local ya comprobada y prioriza materiales, ayuda y seguimiento. SUBMIT guarda código, intento, resultado y eventos antes de confirmar; la ayuda futura debe conservarlos ante fallas de IA. Se mantienen las metas originales, la regresión de los nueve RF previos y la validación de cinco cierres nuevos, sin atribuir aceptación productiva.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Se conserva Scrum ligero con nueve sprints de dos semanas, 27 historias y 184 puntos. Los incrementos IMP no reemplazan los sprints CAPSTONE. Las minutas de Fase 1 conservan sus acuerdos históricos; las once de Fase 2, F2-01–F2-11 (08/09–16/10/2026), organizan el seguimiento propuesto, pendiente de revisión del equipo.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La construcción vincula RF, HU, CU y PT con contratos, migraciones y escenarios de éxito, rechazo y falla. Antes de declarar cierre se verifica API, RLS, versiones, recuperación, pruebas y recorrido de navegador. Las fallas se conservan: no se reducen umbrales ni se omiten muestras para obtener PASS. La Definition of Done mantiene revisión, documentación y aceptación como controles diferenciados.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Marcelo Núñez mantiene la responsabilidad prevista de producto, backend e integración; Benjamin Pérez, frontend y documentación; Abraham Retamal, datos, IA/RAG y calidad. El plan siguiente asigna responsables de seguimiento, no horas humanas ejecutadas. Sus duraciones provienen del roadmap original y requieren contrastarse con capacidad real.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Se seleccionan ERS, casos de uso y backlog para diseño y gestión; DAS 1.2, Diccionario de Datos 1.3 y Documento de Proceso de Negocio 1.2 para ingeniería, revisados el 23/10/2026. Contratos y migraciones sustentan la construcción; los informes fechados muestran pruebas del candidato y ambiente correspondientes.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docs/work/IMP-03-implementation.md y su trazabilidad sustentan 14/27 RF: nueve revalidados y cinco nuevos, con veinte escenarios nuevos. La evidencia registra 675 unitarias/contratos, 111 HTTP, 313 SQL, 78 Docker y 34 Cypress, además de 14 controles de CI. El corte IMP-02 del 28/09 permanece como antecedente histórico.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Fixtures ficticios, pruebas negativas de permisos, RLS, versiones inmutables, recuperación de envíos e historial propio resguardan el corte. RUN no crea intentos ni progreso; SUBMIT confirma sólo tras persistir. La proyección estudiantil protege HIDDEN. Materiales, ayuda y seguimiento completo siguen pendientes; la captura del anexo conserva su fecha histórica.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130"/>
        <w:gridCol w:w="1100"/>
        <w:gridCol w:w="1275"/>
        <w:gridCol w:w="1394"/>
        <w:gridCol w:w="1272"/>
        <w:gridCol w:w="1200"/>
      </w:tblGrid>
      <w:tr w:rsidR="00FD5149" w:rsidRPr="006E3B0D" w14:paraId="66FA4353" w14:textId="77777777" w:rsidTr="00EA0C09">
        <w:trPr>
          <w:trHeight w:val="415"/>
          <w:tblHeader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  <w:tblHeader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94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72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0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C2 y C5</w:t>
              <w:br/>
              <w:t xml:space="preserve">Gestión y comunicación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Definir problema, alcance, ERS y backlog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ERS, casos de uso, minutas y Git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S0–S1</w:t>
              <w:br/>
              <w:t xml:space="preserve">4 semanas planificadas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Equipo; Marcelo coordina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Línea base y revisión cruzada facilitan el orden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Completado documental</w:t>
              <w:br/>
              <w:t>Revisión 23/10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Mantener trazabilidad y decisiones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C3 y C4</w:t>
              <w:br/>
              <w:t xml:space="preserve">Datos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Preparar fundación, identidad y roles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Next.js, NestJS, Auth, RLS y Docker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S2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Marcelo y Abraham; Benjamin UI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Permisos institucionales requieren pruebas negativas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Completado local</w:t>
              <w:br/>
              <w:t xml:space="preserve">Base disponible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Separar ámbito y rol vigente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C3 y C4</w:t>
              <w:br/>
              <w:t xml:space="preserve">Datos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Cursos, clases, ejercicios y editor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SQL, contratos, web y fixtures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S3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Marcelo y Benjamin; Abraham datos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Publicar e inscribir son independientes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Completado local</w:t>
              <w:br/>
              <w:t>Revalidado IMP-03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Proyectar VISIBLE; proteger HIDDEN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C1 y C4</w:t>
              <w:br/>
              <w:t xml:space="preserve">Pruebas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RUN, SUBMIT, historial y reintento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Docker, API y pruebas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S4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Marcelo y Abraham; Benjamin UI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RUN y envíos conservan límites, permisos e historia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Comprobado local</w:t>
              <w:br/>
              <w:t>RF-010 aún parcial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Mantener regresión; completar HU-010-E4 con ayuda real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C3 y C4</w:t>
              <w:br/>
              <w:t xml:space="preserve">Datos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Materiales privados e indexación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Storage, pgvector, workers y RLS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S5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Abraham y Marcelo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Fuentes admitidas y aislamiento definidos en specs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No iniciado</w:t>
              <w:br/>
              <w:t xml:space="preserve">RF-006/025 pendientes</w:t>
              <w:t xml:space="preserve"/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Implementar ingesta y recuperación autorizada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C1 y C4</w:t>
              <w:br/>
              <w:t xml:space="preserve">Pruebas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Ayuda, pistas y evaluación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RAG, material autorizado y contratos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S5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Abraham; Marcelo integra; Benjamin UI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Ayuda requiere intento confirmado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No iniciado</w:t>
              <w:br/>
              <w:t xml:space="preserve">RF-012/013 pendientes</w:t>
              <w:t xml:space="preserve"/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Integrar ayudas y validar proveedor real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C1, C3 y C4</w:t>
              <w:br/>
              <w:t xml:space="preserve">Calidad y datos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Progreso por actividad y concepto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SQL, eventos, reglas y fixtures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S6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Marcelo y Abraham; Benjamin progreso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Avance por actividad desde intentos persistidos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En curso</w:t>
              <w:br/>
              <w:t>RF-015 parcial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>Completar conceptos; RF-026 sigue pendiente</w:t>
            </w:r>
          </w:p>
        </w:tc>
      </w:tr>
    </w:tbl>
    <w:p>
      <w:pPr>
        <w:jc w:val="left"/>
        <w:spacing w:before="0" w:after="70" w:line="240" w:lineRule="auto"/>
        <w:pageBreakBefore/>
      </w:pPr>
      <w:r>
        <w:rPr>
          <w:rFonts w:ascii="Calibri" w:hAnsi="Calibri"/>
          <w:color w:val="1F3864"/>
          <w:sz w:val="20"/>
          <w:szCs w:val="20"/>
        </w:rPr>
        <w:t xml:space="preserve"/>
      </w:r>
    </w:p>
    <w:tbl>
      <w:tblPr>
        <w:tblStyle w:val="Tablaconcuadrcula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  <w:tblInd w:w="-636" w:type="dxa"/>
      </w:tblPr>
      <w:tblGrid>
        <w:gridCol w:w="1328"/>
        <w:gridCol w:w="1077"/>
        <w:gridCol w:w="1130"/>
        <w:gridCol w:w="1100"/>
        <w:gridCol w:w="1275"/>
        <w:gridCol w:w="1394"/>
        <w:gridCol w:w="1272"/>
        <w:gridCol w:w="1200"/>
      </w:tblGrid>
      <w:tr w:rsidR="00FD5149" w:rsidRPr="006E3B0D" w14:paraId="66FA4353" w14:textId="77777777" w:rsidTr="00EA0C09">
        <w:trPr>
          <w:trHeight w:val="415"/>
          <w:tblHeader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 continuación</w:t>
            </w:r>
          </w:p>
        </w:tc>
      </w:tr>
      <w:tr w:rsidR="00FD5149" w:rsidRPr="006E3B0D" w14:paraId="54BB210F" w14:textId="77777777" w:rsidTr="009552E5">
        <w:trPr>
          <w:trHeight w:val="711"/>
          <w:tblHeader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W w:w="1394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72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0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C2 y C4</w:t>
              <w:br/>
              <w:t xml:space="preserve">Gestión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Señales y panel docente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Reglas, motor, evidencias y web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S6</w:t>
              <w:br/>
              <w:t xml:space="preserve">Horizonte original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Marcelo y Abraham; Benjamin panel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Confirmar revisa; cancelar conserva ACTIVE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No iniciado</w:t>
              <w:br/>
              <w:t xml:space="preserve">Seguimiento pendiente</w:t>
              <w:t xml:space="preserve"/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Revisión idempotente y autorizada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C2 y C4</w:t>
              <w:br/>
              <w:t xml:space="preserve">Gestión y software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Gobierno final y auditoría CSV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API, auditoría, validadores y UI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S7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Marcelo; Benjamin UI; Abraham QA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Auditoría técnica no completa RF-027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En curso</w:t>
              <w:br/>
              <w:t xml:space="preserve">RF-027 pendiente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Completar consulta y CSV autorizado</w:t>
            </w:r>
          </w:p>
        </w:tc>
      </w:tr>
      <w:tr w:rsidR="00FD5149" w:rsidRPr="006E3B0D" w14:paraId="0D4FAAA2" w14:textId="77777777" w:rsidTr="00EA0C09">
        <w:trPr>
          <w:cantSplit/>
        </w:trPr>
        <w:tc>
          <w:tcPr>
            <w:tcW w:w="1328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C1, C2 y C5</w:t>
              <w:br/>
              <w:t xml:space="preserve">Calidad y entrega</w:t>
            </w:r>
          </w:p>
        </w:tc>
        <w:tc>
          <w:tcPr>
            <w:tcW w:w="1077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Operación, demo y entrega final</w:t>
            </w:r>
          </w:p>
        </w:tc>
        <w:tc>
          <w:tcPr>
            <w:tcW w:w="113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Guías, CI, servicios y rúbrica</w:t>
            </w:r>
          </w:p>
        </w:tc>
        <w:tc>
          <w:tcPr>
            <w:tcW w:w="11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S8</w:t>
              <w:br/>
              <w:t xml:space="preserve">2 semanas del plan</w:t>
            </w:r>
          </w:p>
        </w:tc>
        <w:tc>
          <w:tcPr>
            <w:tcW w:w="1275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Equipo; Marcelo coordina</w:t>
            </w:r>
          </w:p>
        </w:tc>
        <w:tc>
          <w:tcPr>
            <w:tcW w:w="1394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Integraciones remotas y aceptación pendientes</w:t>
            </w:r>
          </w:p>
        </w:tc>
        <w:tc>
          <w:tcPr>
            <w:tcW w:w="1272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En curso</w:t>
              <w:br/>
              <w:t xml:space="preserve">Preparación local</w:t>
            </w:r>
          </w:p>
        </w:tc>
        <w:tc>
          <w:tcPr>
            <w:tcW w:w="1200" w:type="dxa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18"/>
                <w:szCs w:val="18"/>
              </w:rPr>
              <w:t xml:space="preserve">Validar destino y cierre académico</w:t>
            </w:r>
          </w:p>
        </w:tc>
      </w:tr>
    </w:tbl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 xml:space="preserve"/>
      </w:r>
    </w:p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  <w:b/>
              </w:rPr>
              <w:t xml:space="preserve">Factores que han facilitado o dificultado el desarrollo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Facilitadores. La ERS, el backlog y los identificadores RF/HU/CU/PT permitieron ordenar las dependencias. Los contratos compartidos, las migraciones incrementales y los datos ficticios facilitaron la reproducción. Las suites unitarias, HTTP, SQL y Cypress permiten revisar fallas que una captura no revela.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Dificultades y respuesta. La práctica coordinó permisos, cierre de actividades, reservas durables y recuperación. El runner QuickJS/WASM reforzó el aislamiento y la autenticidad; 78 casos Docker verificaron límites y limpieza. El ensayo inicial de SUBMIT superó el umbral p95 y se corrigió sin ampliar límites ni omitir muestras.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La repetición de CI obtuvo p95 SUBMIT concurrente de 3502,71 ms para el perfil local. Se verificaron admisión anterior al cierre, persistencia posterior, rechazo de nuevas admisiones e historia propia autorizada. La brecha siguiente es integrar fuentes y ayuda: corpus vacío debe producir NO_EVIDENCE y una dependencia caída PROVIDER_UNAVAILABLE sin alterar el intento.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Las integraciones remotas y la revisión pedagógica exigen configuración, corpus y evaluación concretos. Se prepara el procedimiento, pero no se inventan presupuestos, llamadas a Azure o aceptación docente.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  <w:b/>
              </w:rPr>
              <w:t xml:space="preserve">Actividades ajustadas o eliminadas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Se acotó el producto a Programación I con JavaScript y al flujo institucional formativo. Se eliminaron del MVP las funciones históricas de apoderados y LMS completo; los 27 RF Must vigentes se mantienen. La decisión responde a la duración del CAPSTONE y a la necesidad de demostrar una vertical integrada.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Se mantienen identidad y permisos antes del contenido, y el intento persistido antes de la ayuda. Publicar e inscribir son independientes; resolver exige inscripción vigente, actividad PUBLISHED y ventana disponible. Versiones, migraciones incrementales, RLS e idempotencia preservan la historia.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El avance por actividad ya cuenta una vez cada asignación requerida completada; RUN no suma, un fallo posterior no borra un éxito y cero requeridos produce proporción nula. RF-015 sigue parcial por conceptos y alcance restante. Las señales permanecen previstas: confirmar cambia ACTIVE a REVIEWED; cancelar conserva ACTIVE. DEC-005 mantiene pendientes eventos, ventanas y deduplicación.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Las minutas F2-06–F2-11 conservan el seguimiento propuesto hasta el 16/10, previo al cierre IMP-03. Al 23/10 la prioridad avanza hacia materiales, ayudas y seguimiento. Las estimaciones originales siguen como referencia; capacidad y congelamiento requieren revisión del equipo. Los compromisos históricos y la retroalimentación docente conservan su estado pendiente de revisión.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top"/>
          </w:tcPr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  <w:b/>
              </w:rPr>
              <w:t xml:space="preserve">Actividades no iniciadas y cierres pendientes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La práctica estudiantil, el envío durable, el historial y los reintentos están integrados y comprobados localmente en IMP-03. RF-005/007/009/011/014 se suman a los nueve RF previos. RF-010 conserva estado parcial porque HU-010-E4 exige la ayuda real o su falla integrada; disponer de SUBMIT persistente no cierra ese escenario.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Materiales y ayuda, progreso por concepto, señales y tablero siguen pendientes. RF-015 y el gobierno del banco RF-024 conservan alcance parcial. RF-027 exige consulta filtrada y exportación CSV de auditoría con autorización, campos seguros y registro de descarga; la auditoría técnica existente no lo completa.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 xml:space="preserve">Azure OpenAI real, Vercel Sandbox productivo y despliegue híbrido permanecen pendientes de verificación. Se requiere configuración y presupuesto acordados, datos ficticios y resultados de seguridad, costo, latencia y recuperación. Un ensayo sintético de fundación no sustituye esa evidencia.</w:t>
            </w:r>
          </w:p>
          <w:p>
            <w:pPr>
              <w:jc w:val="left"/>
              <w:spacing w:before="0" w:after="70" w:line="240" w:lineRule="auto"/>
            </w:pPr>
            <w:r>
              <w:rPr>
                <w:rFonts w:ascii="Calibri" w:hAnsi="Calibri"/>
                <w:color w:val="1F3864"/>
                <w:sz w:val="20"/>
                <w:szCs w:val="20"/>
              </w:rPr>
              <w:t>Para la entrega académica se incorporará retroalimentación cuando exista, se reunirán contribuciones individuales y se ensayará la demostración. La ingeniería se actualizó al 23/10; la aceptación permanece pendiente. El plan conserva las actividades obligatorias y propone revisar capacidad, responsables y congelamiento antes de comprometer el cierre.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p>
      <w:pPr>
        <w:jc w:val="left"/>
        <w:spacing w:before="0" w:after="70" w:line="240" w:lineRule="auto"/>
        <w:pageBreakBefore/>
        <w:keepNext/>
      </w:pPr>
      <w:r>
        <w:rPr>
          <w:rFonts w:ascii="Calibri" w:hAnsi="Calibri"/>
          <w:color w:val="1F3864"/>
          <w:sz w:val="24"/>
          <w:szCs w:val="24"/>
          <w:b/>
        </w:rPr>
        <w:t>Evidencias revisadas al 23 de octubre de 2026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>La revisión del 23/10/2026 incorpora el corte funcional IMP-03 de alunza-edu y conserva los antecedentes de IMP-02. Diseño, implementación, comprobación local y aceptación académica son estados distintos. La actualización de esta guía se basa en evidencia registrada; no constituye una nueva ejecución de pruebas ni aprobación docente.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>E1. Corte local del 23/10/2026. Fuente: docs/work/evidence/imp-03/verification-summary.json, ci.json, acceptance.json y e2e.json. Resultado: 675 unitarias/contratos, HTTP 111/111, SQL 313, Docker 78/78 y Cypress 34/34; 14 controles de CI. RNF-REN-02 cumple el perfil local: p95 SUBMIT concurrente 3502,71 ms frente a &lt;5000 ms.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 xml:space="preserve">E2. Definición y alcance del MVP. Fuentes: Informe_ERS_Alunza.docx, Acta_de_Constitucion_Alunza.docx y Product_Backlog_Alunza.xlsx de Evidencias CAPSTONE/Fase 1/Evidencias de proyecto; specs/01-producto-y-alcance.md y specs/02-requisitos-funcionales.md. La línea base conserva 27 requisitos Must para Programación I con JavaScript, evaluación determinista, ayuda con fuentes y seguimiento docente como objetivos.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>E3. Trazabilidad local. Fuentes: docs/work/IMP-03-implementation.md y docs/work/IMP-03-trazabilidad.md. El 23/10 se acreditan 14/27 RF (51,9 %): 001/002/003/004/005/007/008/009/011/014/020/021/022/023. Se conservan 36 escenarios de base y veinte nuevos; RF-010/015/024 son parciales. El 9/27 del 28/09 permanece como antecedente.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>Identificación del candidato IMP-03: 290 archivos de código, contratos, migraciones, pruebas, fixtures e infraestructura; SHA-256 5a5ec24f2a9535101f7cb7a303460d479a06bdf866c4b592ab1b1fcf61076194. La huella identifica el candidato probado; no equivale a un commit, despliegue o aprobación académica.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>E4. Ingeniería revisada el 23/10/2026. Fuentes de Evidencias CAPSTONE/Fase 2/Evidencias de proyecto: DAS 1.2, Diccionario de Datos 1.3 y Documento de Proceso de Negocio 1.2. Distinguen arquitectura objetivo, 25 tablas y 292 atributos físicos, práctica local implementada y procesos posteriores. La revisión documental no modifica por sí sola el estado funcional.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 xml:space="preserve">E5. Captura del corte académico. La imagen siguiente procede de alunza-edu/docs/work/evidence/imp-02 y muestra datos ficticios del 28/09/2026. Complementa la evidencia de estructura y editor. No demuestra ejecución actual, integración remota, resultados de aprendizaje ni uso con personas reales.</w:t>
      </w:r>
    </w:p>
    <w:p>
      <w:pPr>
        <w:jc w:val="center"/>
        <w:spacing w:after="100"/>
      </w:pPr>
      <w:r>
        <w:drawing>
          <wp:inline distT="0" distB="0" distL="0" distR="0">
            <wp:extent cx="5943600" cy="2938727"/>
            <wp:docPr id="710" name="Evidencia de Alunza" descr="Captura histórica de la interfaz académica con datos ficticios del corte IMP-02"/>
            <wp:cNvGraphicFramePr>
              <ns0:graphicFrameLocks xmlns:ns0="http://schemas.openxmlformats.org/drawingml/2006/main" noChangeAspect="1"/>
            </wp:cNvGraphicFramePr>
            <ns0:graphic xmlns:ns0="http://schemas.openxmlformats.org/drawingml/2006/main">
              <ns0:graphicData uri="http://schemas.openxmlformats.org/drawingml/2006/picture">
                <ns0:pic xmlns:ns0="http://schemas.openxmlformats.org/drawingml/2006/picture">
                  <ns0:nvPicPr>
                    <ns0:cNvPr id="0" name="imp02-admin-cursos.png"/>
                    <ns0:cNvPicPr/>
                  </ns0:nvPicPr>
                  <ns0:blipFill>
                    <ns0:blip xmlns:ns0="http://schemas.openxmlformats.org/drawingml/2006/main" r:embed="rIdAlunzaEvidence"/>
                    <ns0:stretch xmlns:ns0="http://schemas.openxmlformats.org/drawingml/2006/main">
                      <ns0:fillRect/>
                    </ns0:stretch>
                  </ns0:blipFill>
                  <ns0:spPr>
                    <ns0:xfrm xmlns:ns0="http://schemas.openxmlformats.org/drawingml/2006/main">
                      <ns0:off x="0" y="0"/>
                      <ns0:ext cx="5943600" cy="2938727"/>
                    </ns0:xfrm>
                    <ns0:prstGeom xmlns:ns0="http://schemas.openxmlformats.org/drawingml/2006/main" prst="rect">
                      <ns0:avLst/>
                    </ns0:prstGeom>
                  </ns0:spPr>
                </ns0:pic>
              </ns0:graphicData>
            </ns0:graphic>
          </wp:inline>
        </w:drawing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 xml:space="preserve">Figura E5. Cursos y clases de la base IMP-02, 28/09/2026.</w:t>
      </w:r>
    </w:p>
    <w:p>
      <w:pPr>
        <w:jc w:val="left"/>
        <w:spacing w:before="0" w:after="70" w:line="240" w:lineRule="auto"/>
      </w:pPr>
      <w:r>
        <w:rPr>
          <w:rFonts w:ascii="Calibri" w:hAnsi="Calibri"/>
          <w:color w:val="1F3864"/>
          <w:sz w:val="20"/>
          <w:szCs w:val="20"/>
        </w:rPr>
        <w:t xml:space="preserve">Fuentes: ERS 1.3, Acta, casos de uso, Backlog, Roadmap y minutas de Fase 1. Minutas de Fase 2: Evidencias CAPSTONE/Fase 2/Evidencias de proyecto/minutas/. F2-01–F2-11, en orden: 08, 11, 15, 22, 25 y 29/09; 02, 06, 09, 13 y 16/10/2026. Se omite el 18/09; revisión del equipo pendiente.</w:t>
      </w:r>
    </w:p>
    <w:sectPr w:rsidR="0003309E" w:rsidRPr="0003309E">
      <w:footerReference w:type="default" r:id="rIdAlunzaFooter"/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-alunza.xml><?xml version="1.0" encoding="utf-8"?>
<w:ftr xmlns:w="http://schemas.openxmlformats.org/wordprocessingml/2006/main">
  <w:p>
    <w:pPr>
      <w:jc w:val="right"/>
      <w:spacing w:before="0" w:after="70" w:line="240" w:lineRule="auto"/>
    </w:pPr>
    <w:r>
      <w:rPr>
        <w:rFonts w:ascii="Calibri" w:hAnsi="Calibri"/>
        <w:color w:val="1F3864"/>
        <w:sz w:val="18"/>
        <w:szCs w:val="18"/>
      </w:rPr>
      <w:t xml:space="preserve"/>
    </w:r>
    <w:r>
      <w:rPr>
        <w:rFonts w:ascii="Calibri" w:hAnsi="Calibri"/>
        <w:sz w:val="18"/>
        <w:color w:val="1F3864"/>
      </w:rPr>
      <w:t xml:space="preserve">Página </w:t>
    </w:r>
    <w:r>
      <w:rPr>
        <w:rFonts w:ascii="Calibri" w:hAnsi="Calibri"/>
        <w:sz w:val="18"/>
        <w:color w:val="1F3864"/>
      </w:rP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sz w:val="18"/>
        <w:color w:val="1F3864"/>
      </w:rPr>
      <w:t xml:space="preserve"> de </w:t>
    </w:r>
    <w:r>
      <w:rPr>
        <w:rFonts w:ascii="Calibri" w:hAnsi="Calibri"/>
        <w:sz w:val="18"/>
        <w:color w:val="1F3864"/>
      </w:rP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AlunzaEvidence" Type="http://schemas.openxmlformats.org/officeDocument/2006/relationships/image" Target="media/alunza-evidence.png"/><Relationship Id="rIdAlunzaFooter" Type="http://schemas.openxmlformats.org/officeDocument/2006/relationships/footer" Target="footer-alunza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2077</Words>
  <Characters>12873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2022-08-24T18:14:00Z</dcterms:created>
  <dcterms:modified xsi:type="dcterms:W3CDTF">2026-10-16T23:25:35Z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