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alunza.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p>
      <w:pPr>
        <w:jc w:val="left"/>
        <w:spacing w:before="0" w:after="70" w:line="240" w:lineRule="auto"/>
      </w:pPr>
      <w:r>
        <w:rPr>
          <w:rFonts w:ascii="Calibri" w:hAnsi="Calibri"/>
          <w:color w:val="1F3864"/>
          <w:sz w:val="20"/>
          <w:szCs w:val="20"/>
          <w:b/>
        </w:rPr>
        <w:t>Alunza · Ingeniería en Informática · Equipo Marcelo Núñez, Benjamin Pérez y Abraham Retamal · Revisión 23/10/2026</w:t>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top"/>
          </w:tcPr>
          <w:p>
            <w:pPr>
              <w:jc w:val="left"/>
              <w:spacing w:before="0" w:after="70" w:line="240" w:lineRule="auto"/>
            </w:pPr>
            <w:r>
              <w:rPr>
                <w:rFonts w:ascii="Calibri" w:hAnsi="Calibri"/>
                <w:color w:val="1F3864"/>
                <w:sz w:val="20"/>
                <w:szCs w:val="20"/>
              </w:rPr>
              <w:t xml:space="preserve">Alunza — Tutor Universitario Inteligente para Programación I</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top"/>
          </w:tcPr>
          <w:p>
            <w:pPr>
              <w:jc w:val="left"/>
              <w:spacing w:before="0" w:after="70" w:line="240" w:lineRule="auto"/>
            </w:pPr>
            <w:r>
              <w:rPr>
                <w:rFonts w:ascii="Calibri" w:hAnsi="Calibri"/>
                <w:color w:val="1F3864"/>
                <w:sz w:val="20"/>
                <w:szCs w:val="20"/>
              </w:rPr>
              <w:t xml:space="preserve">Desarrollo de software; gestión de proyectos informáticos; modelamiento y gestión de datos; aseguramiento de calidad, pruebas y seguridad de soluciones TI.</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top"/>
          </w:tcPr>
          <w:p>
            <w:pPr>
              <w:jc w:val="left"/>
              <w:spacing w:before="0" w:after="70" w:line="240" w:lineRule="auto"/>
            </w:pPr>
            <w:r>
              <w:rPr>
                <w:rFonts w:ascii="Calibri" w:hAnsi="Calibri"/>
                <w:color w:val="1F3864"/>
                <w:sz w:val="20"/>
                <w:szCs w:val="20"/>
              </w:rPr>
              <w:t xml:space="preserve">C1. Realizar pruebas de certificación de productos y procesos aplicando buenas prácticas de la industria.</w:t>
            </w:r>
          </w:p>
          <w:p>
            <w:pPr>
              <w:jc w:val="left"/>
              <w:spacing w:before="0" w:after="70" w:line="240" w:lineRule="auto"/>
            </w:pPr>
            <w:r>
              <w:rPr>
                <w:rFonts w:ascii="Calibri" w:hAnsi="Calibri"/>
                <w:color w:val="1F3864"/>
                <w:sz w:val="20"/>
                <w:szCs w:val="20"/>
              </w:rPr>
              <w:t xml:space="preserve">C2. Gestionar proyectos informáticos y apoyar la toma de decisiones según los requerimientos de la organización.</w:t>
            </w:r>
          </w:p>
          <w:p>
            <w:pPr>
              <w:jc w:val="left"/>
              <w:spacing w:before="0" w:after="70" w:line="240" w:lineRule="auto"/>
            </w:pPr>
            <w:r>
              <w:rPr>
                <w:rFonts w:ascii="Calibri" w:hAnsi="Calibri"/>
                <w:color w:val="1F3864"/>
                <w:sz w:val="20"/>
                <w:szCs w:val="20"/>
              </w:rPr>
              <w:t xml:space="preserve">C3. Construir modelos de datos escalables que soporten los requerimientos de la solución.</w:t>
            </w:r>
          </w:p>
          <w:p>
            <w:pPr>
              <w:jc w:val="left"/>
              <w:spacing w:before="0" w:after="70" w:line="240" w:lineRule="auto"/>
            </w:pPr>
            <w:r>
              <w:rPr>
                <w:rFonts w:ascii="Calibri" w:hAnsi="Calibri"/>
                <w:color w:val="1F3864"/>
                <w:sz w:val="20"/>
                <w:szCs w:val="20"/>
              </w:rPr>
              <w:t xml:space="preserve">C4. Desarrollar una solución de software con técnicas que sistematicen su construcción y mantenimiento.</w:t>
            </w:r>
          </w:p>
          <w:p>
            <w:pPr>
              <w:jc w:val="left"/>
              <w:spacing w:before="0" w:after="70" w:line="240" w:lineRule="auto"/>
            </w:pPr>
            <w:r>
              <w:rPr>
                <w:rFonts w:ascii="Calibri" w:hAnsi="Calibri"/>
                <w:color w:val="1F3864"/>
                <w:sz w:val="20"/>
                <w:szCs w:val="20"/>
              </w:rPr>
              <w:t xml:space="preserve">C5. Comunicar resultados técnicos de forma oral y escrita, incluyendo los productos en inglés exigidos por CAPSTONE.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blHeader/>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top"/>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top"/>
          </w:tcPr>
          <w:p>
            <w:pPr>
              <w:spacing w:before="0" w:beforeAutospacing="0" w:after="70" w:afterAutospacing="0" w:line="240" w:lineRule="auto"/>
              <w:textAlignment w:val="baseline"/>
              <w:jc w:val="left"/>
            </w:pPr>
            <w:r>
              <w:rPr>
                <w:rFonts w:ascii="Calibri" w:hAnsi="Calibri"/>
                <w:color w:val="1F3864"/>
                <w:sz w:val="20"/>
                <w:szCs w:val="20"/>
              </w:rPr>
              <w:t xml:space="preserve">Alunza aborda la dificultad de recibir apoyo oportuno y específico al aprender programación. Un estudiante puede saber que su solución falla sin reconocer si la causa corresponde a sintaxis, lógica, interpretación del enunciado o un caso límite. Paralelamente, revisar manualmente los intentos y errores recurrentes de una sección exige tiempo que el profesor necesita para orientar a sus estudiantes. El problema es relevante para la profesión porque requiere convertir una necesidad educativa en una solución integrada, verificable y mantenible.</w:t>
            </w:r>
          </w:p>
          <w:p>
            <w:pPr>
              <w:spacing w:before="0" w:beforeAutospacing="0" w:after="70" w:afterAutospacing="0" w:line="240" w:lineRule="auto"/>
              <w:textAlignment w:val="baseline"/>
              <w:jc w:val="left"/>
            </w:pPr>
            <w:r>
              <w:rPr>
                <w:rFonts w:ascii="Calibri" w:hAnsi="Calibri"/>
                <w:color w:val="1F3864"/>
                <w:sz w:val="20"/>
                <w:szCs w:val="20"/>
              </w:rPr>
              <w:t xml:space="preserve">El contexto académico definido es Programación I de Duoc UC, sede Puente Alto, Región Metropolitana de Chile. La institución representa el cliente objetivo de una plataforma web B2B; estudiantes, profesores y administradores son sus usuarios directos. El trabajo del equipo formado por Marcelo Núñez, Benjamin Pérez y Abraham Retamal se enmarca en CAPSTONE de Ingeniería en Informática, con Fabián Saldaño como docente guía. Las demostraciones emplean instituciones y cuentas ficticias; no acreditan un piloto con alumnos reales.</w:t>
            </w:r>
          </w:p>
          <w:p>
            <w:pPr>
              <w:spacing w:before="0" w:beforeAutospacing="0" w:after="70" w:afterAutospacing="0" w:line="240" w:lineRule="auto"/>
              <w:textAlignment w:val="baseline"/>
              <w:jc w:val="left"/>
            </w:pPr>
            <w:r>
              <w:rPr>
                <w:rFonts w:ascii="Calibri" w:hAnsi="Calibri"/>
                <w:color w:val="1F3864"/>
                <w:sz w:val="20"/>
                <w:szCs w:val="20"/>
              </w:rPr>
              <w:t>El aporte obtenido es una base institucional y académica con práctica local integrada: ejecutar, enviar, consultar diagnósticos y conservar intentos. La propuesta completa incorpora además ayuda contextual con fuentes y seguimiento docente explicable. La revisión del 23/10/2026 vincula los documentos de ingeniería con IMP-03, que acredita 14/27 requisitos probados localmente (51,9 %). El título de la guía no implica que el MVP esté terminado. La mejora del aprendizaje y la reducción de carga docente siguen siendo hipótesis para un piloto.</w:t>
            </w:r>
          </w:p>
        </w:tc>
      </w:tr>
      <w:tr w:rsidR="001202BF" w14:paraId="69DA8CAD" w14:textId="77777777" w:rsidTr="7EB51544">
        <w:trPr>
          <w:trHeight w:val="838"/>
        </w:trPr>
        <w:tc>
          <w:tcPr>
            <w:tcW w:w="3001" w:type="dxa"/>
            <w:vAlign w:val="top"/>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top"/>
          </w:tcPr>
          <w:p>
            <w:pPr>
              <w:spacing w:after="70" w:line="240" w:lineRule="auto" w:before="0"/>
              <w:jc w:val="left"/>
            </w:pPr>
            <w:r>
              <w:rPr>
                <w:rFonts w:ascii="Calibri" w:hAnsi="Calibri"/>
                <w:color w:val="1F3864"/>
                <w:sz w:val="20"/>
                <w:szCs w:val="20"/>
              </w:rPr>
              <w:t xml:space="preserve">Objetivo general: desarrollar y validar, durante las 18 semanas de CAPSTONE, un MVP web de tutoría inteligente para Programación I que combine evaluación determinista de código JavaScript, feedback progresivo, recuperación de material oficial mediante RAG y analítica docente explicable.</w:t>
            </w:r>
          </w:p>
          <w:p>
            <w:pPr>
              <w:spacing w:after="70" w:line="240" w:lineRule="auto" w:before="0"/>
              <w:jc w:val="left"/>
            </w:pPr>
            <w:r>
              <w:rPr>
                <w:rFonts w:ascii="Calibri" w:hAnsi="Calibri"/>
                <w:color w:val="1F3864"/>
                <w:sz w:val="20"/>
                <w:szCs w:val="20"/>
              </w:rPr>
              <w:t xml:space="preserve">Objetivos específicos: (1) implementar el flujo de clase, actividad, ejercicio, intento, evaluación y feedback; (2) ejecutar código JavaScript corto en un entorno controlado con límites y casos de prueba; (3) registrar intentos y resultados sin capturar cada pulsación; (4) clasificar resultados mediante una taxonomía controlada y una salida validada; (5) recuperar material autorizado de la clase y mostrar sus referencias; (6) presentar tres señales docentes explicables; (7) contener fallas de IA sin alterar la evaluación técnica ni perder intentos; y (8) entregar código, pruebas y documentación que permitan reproducir la solución y verificar el trabajo del equipo.</w:t>
            </w:r>
          </w:p>
        </w:tc>
      </w:tr>
      <w:tr w:rsidR="001202BF" w14:paraId="2F6D6195" w14:textId="77777777" w:rsidTr="7EB51544">
        <w:tc>
          <w:tcPr>
            <w:tcW w:w="3001" w:type="dxa"/>
            <w:vAlign w:val="top"/>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top"/>
          </w:tcPr>
          <w:p>
            <w:pPr>
              <w:spacing w:after="70" w:line="240" w:lineRule="auto" w:before="0"/>
              <w:jc w:val="left"/>
            </w:pPr>
            <w:r>
              <w:rPr>
                <w:rFonts w:ascii="Calibri" w:hAnsi="Calibri"/>
                <w:color w:val="1F3864"/>
                <w:sz w:val="20"/>
                <w:szCs w:val="20"/>
              </w:rPr>
              <w:t xml:space="preserve">Se utilizó un desarrollo incremental guiado por requisitos y un marco de Scrum ligero adaptado a CAPSTONE. La planificación original contempla nueve sprints de dos semanas, 18 semanas y 540 horas de trabajo. El Product Backlog organiza 27 requisitos funcionales Must mediante historias, dependencias y criterios de aceptación. MoSCoW ordena las prioridades sin convertir en opcionales los requisitos obligatorios. Los registros técnicos IMP-00 a IMP-08 descomponen la implementación; no reemplazan los sprints académicos.</w:t>
            </w:r>
          </w:p>
          <w:p>
            <w:pPr>
              <w:spacing w:after="70" w:line="240" w:lineRule="auto" w:before="0"/>
              <w:jc w:val="left"/>
            </w:pPr>
            <w:r>
              <w:rPr>
                <w:rFonts w:ascii="Calibri" w:hAnsi="Calibri"/>
                <w:color w:val="1F3864"/>
                <w:sz w:val="20"/>
                <w:szCs w:val="20"/>
              </w:rPr>
              <w:t xml:space="preserve">El procedimiento parte de la ERS 1.3, casos de uso y arquitectura. Cada incremento define contratos, datos, permisos y escenarios antes de integrar API e interfaz. Se verifican migraciones, pruebas unitarias, HTTP, PostgreSQL, RLS y recorridos de navegador, con resultados versionados y contexto de entorno. La Definition of Done exige comportamiento verificable, errores controlados, documentación y revisión. El seguimiento se organiza en F2-01–F2-11 (08/09–16/10/2026); participación, acuerdos y compromisos están pendientes de revisión del equipo.</w:t>
            </w:r>
          </w:p>
          <w:p>
            <w:pPr>
              <w:spacing w:after="70" w:line="240" w:lineRule="auto" w:before="0"/>
              <w:jc w:val="left"/>
            </w:pPr>
            <w:r>
              <w:rPr>
                <w:rFonts w:ascii="Calibri" w:hAnsi="Calibri"/>
                <w:color w:val="1F3864"/>
                <w:sz w:val="20"/>
                <w:szCs w:val="20"/>
              </w:rPr>
              <w:t xml:space="preserve">Esta metodología es pertinente porque la solución depende de servicios y responsabilidades diferentes: web, dominio, identidad, datos, ejecución y ayuda de IA. Integrar por incrementos permite descubrir fallas de autorización y persistencia antes de sumar complejidad, comprobar regresiones y atender bloqueos. También facilita relacionar C1 con calidad, C2 con gestión y trazabilidad, C3 con datos, C4 con construcción sistemática y C5 con comunicación técnica.</w:t>
            </w:r>
          </w:p>
        </w:tc>
      </w:tr>
      <w:tr w:rsidR="001202BF" w14:paraId="76BFA255" w14:textId="77777777" w:rsidTr="7EB51544">
        <w:trPr>
          <w:trHeight w:val="2117"/>
        </w:trPr>
        <w:tc>
          <w:tcPr>
            <w:tcW w:w="3001" w:type="dxa"/>
            <w:vAlign w:val="top"/>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top"/>
          </w:tcPr>
          <w:p>
            <w:pPr>
              <w:spacing w:after="70" w:line="240" w:lineRule="auto" w:before="0"/>
              <w:jc w:val="left"/>
            </w:pPr>
            <w:r>
              <w:rPr>
                <w:rFonts w:ascii="Calibri" w:hAnsi="Calibri"/>
                <w:color w:val="1F3864"/>
                <w:sz w:val="20"/>
                <w:szCs w:val="20"/>
              </w:rPr>
              <w:t>La primera etapa consolidó problema, alcance, ERS, casos de uso, backlog y arquitectura. El DAS 1.2 mantiene Next.js en Vercel, NestJS en Azure Container Apps como única API de dominio, Supabase, Vercel Sandbox productivo, Docker local y Azure OpenAI configurable. IMP-03 integra el runner local QuickJS/WASM y comprueba límites efectivos de hasta 128 MiB, 3000 ms acumulados y 64 KiB de salida. El entorno productivo objetivo conserva 1 vCPU/2 GB y su validación remota pendiente.</w:t>
            </w:r>
          </w:p>
          <w:p>
            <w:pPr>
              <w:spacing w:after="70" w:line="240" w:lineRule="auto" w:before="0"/>
              <w:jc w:val="left"/>
            </w:pPr>
            <w:r>
              <w:rPr>
                <w:rFonts w:ascii="Calibri" w:hAnsi="Calibri"/>
                <w:color w:val="1F3864"/>
                <w:sz w:val="20"/>
                <w:szCs w:val="20"/>
              </w:rPr>
              <w:t>La fundación preparó aplicaciones, contratos y herramientas. Los incrementos institucional y académico incorporaron sesión, organizaciones, usuarios, cursos, clases, códigos, taxonomía, versiones, actividades y editor. IMP-03 añade cinco cierres locales —RF-005/007/009/011/014— a los nueve previos. Al 23/10/2026 hay 14 de 27 requisitos completos y probados localmente (51,9 %), tres parciales (RF-010/015/024) y diez pendientes.</w:t>
            </w:r>
          </w:p>
          <w:p>
            <w:pPr>
              <w:spacing w:after="70" w:line="240" w:lineRule="auto" w:before="0"/>
              <w:jc w:val="left"/>
            </w:pPr>
            <w:r>
              <w:rPr>
                <w:rFonts w:ascii="Calibri" w:hAnsi="Calibri"/>
                <w:color w:val="1F3864"/>
                <w:sz w:val="20"/>
                <w:szCs w:val="20"/>
              </w:rPr>
              <w:t>El Diccionario de Datos 1.3 documenta 25 tablas físicas y 292 atributos de cuatro migraciones. IMP-03 añade ejecuciones, reservas de envío, intentos, resultados privados y eventos. La migración conservó las 114 filas completas de las 20 tablas preexistentes. El estudiante recibe pruebas VISIBLE autorizadas; HIDDEN conserva protección en ejecución y consulta. Los modelos de materiales, ayuda y seguimiento completo siguen separados del esquema implementado.</w:t>
            </w:r>
          </w:p>
          <w:p>
            <w:pPr>
              <w:spacing w:after="70" w:line="240" w:lineRule="auto" w:before="0"/>
              <w:jc w:val="left"/>
            </w:pPr>
            <w:r>
              <w:rPr>
                <w:rFonts w:ascii="Calibri" w:hAnsi="Calibri"/>
                <w:color w:val="1F3864"/>
                <w:sz w:val="20"/>
                <w:szCs w:val="20"/>
              </w:rPr>
              <w:t>RUN ejecuta pruebas visibles y entrega un resultado temporal sin crear un intento ni aumentar el avance. SUBMIT captura el código, verifica las pruebas requeridas y confirma el intento sólo tras persistir código, resultado y eventos. La recuperación conserva la clave de la operación; un reintento deliberado crea otra evidencia. Historial y comparación muestran únicamente datos públicos propios. RF-010 sigue parcial por la ayuda real de HU-010-E4; RF-015 por el alcance de conceptos y seguimiento restante.</w:t>
            </w:r>
          </w:p>
          <w:p>
            <w:pPr>
              <w:spacing w:after="70" w:line="240" w:lineRule="auto" w:before="0"/>
              <w:jc w:val="left"/>
            </w:pPr>
            <w:r>
              <w:rPr>
                <w:rFonts w:ascii="Calibri" w:hAnsi="Calibri"/>
                <w:color w:val="1F3864"/>
                <w:sz w:val="20"/>
                <w:szCs w:val="20"/>
              </w:rPr>
              <w:t>El Documento de Proceso de Negocio 1.2 distingue procesos locales y objetivo. Publicar e inscribir son independientes. Una operación admitida antes del cierre puede finalizar y persistir; una posterior se rechaza. El historial propio permanece accesible con permisos vigentes. El avance por actividad deriva de envíos y conserva éxitos previos. Ingestión, ayuda, señales y seguimiento docente siguen previstos. RF-027, consulta y CSV autorizado, permanece pendiente; la auditoría básica no lo completa.</w:t>
            </w:r>
          </w:p>
          <w:p>
            <w:pPr>
              <w:spacing w:after="70" w:line="240" w:lineRule="auto" w:before="0"/>
              <w:jc w:val="left"/>
            </w:pPr>
            <w:r>
              <w:rPr>
                <w:rFonts w:ascii="Calibri" w:hAnsi="Calibri"/>
                <w:color w:val="1F3864"/>
                <w:sz w:val="20"/>
                <w:szCs w:val="20"/>
              </w:rPr>
              <w:t>La evidencia IMP-03 del 23/10/2026 registra 675 pruebas unitarias y de contratos, 111 HTTP, 313 pgTAP, 78 casos Docker y 34 recorridos Cypress, con 14 controles de CI aprobados. SUBMIT concurrente obtuvo p95 de 3502,71 ms frente a &lt;5000 ms en el perfil local. La regresión pgvector aprobó 27 casos con proveedor doble explícito, sin acreditar Azure ni IA de producto. El cierre del MVP requiere materiales, ayuda, seguimiento, gobierno restante y validación remota; aceptación y retroalimentación docente siguen pendientes.</w:t>
            </w:r>
          </w:p>
          <w:p>
            <w:pPr>
              <w:spacing w:after="70" w:line="240" w:lineRule="auto" w:before="0"/>
              <w:jc w:val="left"/>
            </w:pPr>
            <w:r>
              <w:rPr>
                <w:rFonts w:ascii="Calibri" w:hAnsi="Calibri"/>
                <w:color w:val="1F3864"/>
                <w:sz w:val="20"/>
                <w:szCs w:val="20"/>
              </w:rPr>
              <w:t xml:space="preserve">La línea base documental, los identificadores estables, el control de versiones y los fixtures reproducibles facilitaron el trabajo. Las dificultades incluyeron permisos entre API y datos, versiones publicadas, recuperación ante fallas, aislamiento y servicios externos. Las pruebas negativas revelaron casos que una pantalla exitosa no demuestra.</w:t>
            </w:r>
          </w:p>
          <w:p>
            <w:pPr>
              <w:spacing w:after="70" w:line="240" w:lineRule="auto" w:before="0"/>
              <w:jc w:val="left"/>
            </w:pPr>
            <w:r>
              <w:rPr>
                <w:rFonts w:ascii="Calibri" w:hAnsi="Calibri"/>
                <w:color w:val="1F3864"/>
                <w:sz w:val="20"/>
                <w:szCs w:val="20"/>
              </w:rPr>
              <w:t>Los ajustes preservaron el alcance: migración incremental, autorización transaccional, RLS, claves de operación, versiones e historia inmutable. Una reserva durable permite recuperar el envío tras perder la respuesta sin duplicarlo. La mejora de rendimiento mantuvo cápsulas nuevas y límites publicados, y conservó las corridas fallidas. Los resultados locales, los ensayos con dobles y los servicios remotos se registran por separado.</w:t>
            </w:r>
          </w:p>
        </w:tc>
      </w:tr>
      <w:tr w:rsidR="001202BF" w14:paraId="2F172176" w14:textId="77777777" w:rsidTr="7EB51544">
        <w:trPr>
          <w:trHeight w:val="1112"/>
        </w:trPr>
        <w:tc>
          <w:tcPr>
            <w:tcW w:w="3001" w:type="dxa"/>
            <w:vAlign w:val="top"/>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top"/>
          </w:tcPr>
          <w:p>
            <w:pPr>
              <w:spacing w:after="70" w:line="240" w:lineRule="auto" w:before="0"/>
              <w:jc w:val="left"/>
            </w:pPr>
            <w:r>
              <w:rPr>
                <w:rFonts w:ascii="Calibri" w:hAnsi="Calibri"/>
                <w:color w:val="1F3864"/>
                <w:sz w:val="20"/>
                <w:szCs w:val="20"/>
              </w:rPr>
              <w:t xml:space="preserve">Evidencia de definición: Informe_ERS_Alunza.docx, Acta_de_Constitucion_Alunza.docx, Documento_Casos_de_Uso_Extendidos_Alunza.docx y Product_Backlog_Alunza.xlsx, ubicados en Evidencias CAPSTONE/Fase 1/Evidencias de proyecto del repositorio principal. Sustentan problema, objetivos, 27 requisitos, arquitectura, competencias y planificación; son antecedentes documentales y no demuestran por sí solos software ejecutado.</w:t>
            </w:r>
          </w:p>
          <w:p>
            <w:pPr>
              <w:spacing w:after="70" w:line="240" w:lineRule="auto" w:before="0"/>
              <w:jc w:val="left"/>
            </w:pPr>
            <w:r>
              <w:rPr>
                <w:rFonts w:ascii="Calibri" w:hAnsi="Calibri"/>
                <w:color w:val="1F3864"/>
                <w:sz w:val="20"/>
                <w:szCs w:val="20"/>
              </w:rPr>
              <w:t>Evidencia vigente: docs/work/IMP-03-implementation.md, IMP-03-trazabilidad.md y evidence/imp-03/verification-summary.json, ci.json, acceptance.json, runner-docker.json y e2e.json. El corte del 23/10/2026 acredita 14 RF y 14 controles de CI, con servicios locales reales. El corte IMP-02 del 28/09 conserva su valor histórico; sus 9/27 RF y pruebas no se presentan como resultados del candidato nuevo.</w:t>
            </w:r>
          </w:p>
          <w:p>
            <w:pPr>
              <w:spacing w:after="70" w:line="240" w:lineRule="auto" w:before="0"/>
              <w:jc w:val="left"/>
            </w:pPr>
            <w:r>
              <w:rPr>
                <w:rFonts w:ascii="Calibri" w:hAnsi="Calibri"/>
                <w:color w:val="1F3864"/>
                <w:sz w:val="20"/>
                <w:szCs w:val="20"/>
              </w:rPr>
              <w:t xml:space="preserve">Evidencia visual: docs/work/evidence/imp-02/imp02-admin-cursos.png, imp02-admin-conceptos.png e imp02-estudiante-editor.png muestran cursos, taxonomía y preparación de soluciones con datos ficticios. Complementan el relato del desarrollo; la seguridad y el resultado técnico se sostienen en las pruebas asociadas, no únicamente en las capturas.</w:t>
            </w:r>
          </w:p>
          <w:p>
            <w:pPr>
              <w:spacing w:after="70" w:line="240" w:lineRule="auto" w:before="0"/>
              <w:jc w:val="left"/>
            </w:pPr>
            <w:r>
              <w:rPr>
                <w:rFonts w:ascii="Calibri" w:hAnsi="Calibri"/>
                <w:color w:val="1F3864"/>
                <w:sz w:val="20"/>
                <w:szCs w:val="20"/>
              </w:rPr>
              <w:t>Evidencia de ingeniería: DAS 1.2, Diccionario de Datos 1.3 y Documento de Proceso de Negocio 1.2, revisados el 23/10/2026. Detallan arquitectura, esquema físico, práctica local y procesos objetivo. specs/05-arquitectura.md, 08-ia-y-procesamiento.md, 13-ejecucion-controlada.md y 14-progreso-y-senales.md conservan contratos y criterios. Completar documentos no acredita por sí solo despliegue ni aprobación académica.</w:t>
            </w:r>
          </w:p>
          <w:p>
            <w:pPr>
              <w:spacing w:after="70" w:line="240" w:lineRule="auto" w:before="0"/>
              <w:jc w:val="left"/>
            </w:pPr>
            <w:r>
              <w:rPr>
                <w:rFonts w:ascii="Calibri" w:hAnsi="Calibri"/>
                <w:color w:val="1F3864"/>
                <w:sz w:val="20"/>
                <w:szCs w:val="20"/>
              </w:rPr>
              <w:t>Evidencia de ejecución: docs/work/evidence/imp-03/runner-docker.json registra 78 casos locales sobre límites, falsificación, aislamiento y limpieza. run-performance.json y submit-performance.json conservan 100 solicitudes por operación. La regresión de IA local usa pgvector y un doble explícito; no acredita Azure OpenAI, calidad pedagógica ni operación productiva en Vercel Sandbox.</w:t>
            </w:r>
          </w:p>
          <w:p>
            <w:pPr>
              <w:spacing w:after="70" w:line="240" w:lineRule="auto" w:before="0"/>
              <w:jc w:val="left"/>
            </w:pPr>
            <w:r>
              <w:rPr>
                <w:rFonts w:ascii="Calibri" w:hAnsi="Calibri"/>
                <w:color w:val="1F3864"/>
                <w:sz w:val="20"/>
                <w:szCs w:val="20"/>
              </w:rPr>
              <w:t xml:space="preserve">Contratos públicos, migraciones, pruebas, README, documentos de ingeniería e Informe_Avance_APT_Alunza_Fase2.docx relacionan el recorrido autorizado con los requisitos. F2-01–F2-11 aportan el seguimiento propuesto, pendiente de revisión del equipo. El DAS conserva revisión y aprobación pendientes; los documentos se actualizarán si cambian contratos o implementación. Las matrices y reportes del corte local sustentan el avance, sin atribuir despliegue, uso real ni aceptación docente.</w:t>
            </w:r>
          </w:p>
        </w:tc>
      </w:tr>
      <w:tr w:rsidR="001202BF" w14:paraId="635C2673" w14:textId="77777777" w:rsidTr="7EB51544">
        <w:trPr>
          <w:trHeight w:val="2547"/>
        </w:trPr>
        <w:tc>
          <w:tcPr>
            <w:tcW w:w="3001" w:type="dxa"/>
            <w:vAlign w:val="top"/>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top"/>
          </w:tcPr>
          <w:p>
            <w:pPr>
              <w:spacing w:after="70" w:line="240" w:lineRule="auto" w:before="0"/>
              <w:jc w:val="left"/>
            </w:pPr>
            <w:r>
              <w:rPr>
                <w:rFonts w:ascii="Calibri" w:hAnsi="Calibri"/>
                <w:color w:val="1F3864"/>
                <w:sz w:val="20"/>
                <w:szCs w:val="20"/>
              </w:rPr>
              <w:t xml:space="preserve">El proyecto reúne intereses del equipo en desarrollo full stack, experiencia de usuario, arquitectura, seguridad, datos, IA aplicada y calidad. La experiencia documentada permite comprender que una solución educativa exige coordinar estas áreas y explicar sus límites. Se conserva el interés inicial por EdTech y se profundiza la necesidad de diseñar sistemas que entreguen evidencia comprensible, protejan los datos y mantengan las decisiones académicas bajo responsabilidad humana.</w:t>
            </w:r>
          </w:p>
          <w:p>
            <w:pPr>
              <w:spacing w:after="70" w:line="240" w:lineRule="auto" w:before="0"/>
              <w:jc w:val="left"/>
            </w:pPr>
            <w:r>
              <w:rPr>
                <w:rFonts w:ascii="Calibri" w:hAnsi="Calibri"/>
                <w:color w:val="1F3864"/>
                <w:sz w:val="20"/>
                <w:szCs w:val="20"/>
              </w:rPr>
              <w:t xml:space="preserve">Reflexión propuesta de Marcelo Núñez: Me interesa seguir profundizando en backend, arquitectura e integración. Este proyecto me ayuda a valorar la relación entre decisiones de producto y contratos técnicos. Me proyecto trabajando en equipos que construyan servicios mantenibles, con autorización clara, registro de fallas y criterios de entrega que puedan revisarse con evidencia.</w:t>
            </w:r>
          </w:p>
          <w:p>
            <w:pPr>
              <w:spacing w:after="70" w:line="240" w:lineRule="auto" w:before="0"/>
              <w:jc w:val="left"/>
            </w:pPr>
            <w:r>
              <w:rPr>
                <w:rFonts w:ascii="Calibri" w:hAnsi="Calibri"/>
                <w:color w:val="1F3864"/>
                <w:sz w:val="20"/>
                <w:szCs w:val="20"/>
              </w:rPr>
              <w:t xml:space="preserve">Reflexión propuesta de Benjamin Pérez: Mi interés por Data Analytics, Big Data y BI sigue presente. Alunza me ayuda a conectar modelos y requerimientos con una interfaz que explique el estado real del sistema. Quiero fortalecer la programación aplicada a los datos, la accesibilidad y la comunicación de hallazgos. Me proyecto en analítica o soluciones de datos donde información consistente y experiencias claras apoyen la toma de decisiones.</w:t>
            </w:r>
          </w:p>
          <w:p>
            <w:pPr>
              <w:spacing w:after="70" w:line="240" w:lineRule="auto" w:before="0"/>
              <w:jc w:val="left"/>
            </w:pPr>
            <w:r>
              <w:rPr>
                <w:rFonts w:ascii="Calibri" w:hAnsi="Calibri"/>
                <w:color w:val="1F3864"/>
                <w:sz w:val="20"/>
                <w:szCs w:val="20"/>
              </w:rPr>
              <w:t xml:space="preserve">Reflexión propuesta de Abraham Retamal: Me interesa continuar explorando datos, IA aplicada y aseguramiento de calidad. El proyecto refuerza mi interés por distinguir una respuesta plausible de un resultado comprobable, evaluar fuentes y analizar fallas. Me proyecto participando en soluciones donde modelos de datos, pruebas y métricas permitan supervisar la IA y explicar sus resultados.</w:t>
            </w:r>
          </w:p>
          <w:p>
            <w:pPr>
              <w:spacing w:after="70" w:line="240" w:lineRule="auto" w:before="0"/>
              <w:jc w:val="left"/>
            </w:pPr>
            <w:r>
              <w:rPr>
                <w:rFonts w:ascii="Calibri" w:hAnsi="Calibri"/>
                <w:color w:val="1F3864"/>
                <w:sz w:val="20"/>
                <w:szCs w:val="20"/>
              </w:rPr>
              <w:t xml:space="preserve">Las proyecciones comunes son completar la vertical pendiente, fortalecer la evaluación de seguridad y calidad, preparar una demostración reproducible y diseñar un piloto con indicadores de aprendizaje y utilidad docente. Estas reflexiones son propuestas personales para revisión del equipo; no acreditan aportes individuales de código, horas ejecutadas ni acuerdos de contratación.</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p>
      <w:pPr>
        <w:jc w:val="left"/>
        <w:spacing w:before="0" w:after="70" w:line="240" w:lineRule="auto"/>
        <w:pageBreakBefore/>
        <w:keepNext/>
      </w:pPr>
      <w:r>
        <w:rPr>
          <w:rFonts w:ascii="Calibri" w:hAnsi="Calibri"/>
          <w:color w:val="1F3864"/>
          <w:sz w:val="24"/>
          <w:szCs w:val="24"/>
          <w:b/>
        </w:rPr>
        <w:t>Evidencias seleccionadas y revisadas al 23 de octubre de 2026</w:t>
      </w:r>
    </w:p>
    <w:p>
      <w:pPr>
        <w:jc w:val="left"/>
        <w:spacing w:before="0" w:after="70" w:line="240" w:lineRule="auto"/>
      </w:pPr>
      <w:r>
        <w:rPr>
          <w:rFonts w:ascii="Calibri" w:hAnsi="Calibri"/>
          <w:color w:val="1F3864"/>
          <w:sz w:val="20"/>
          <w:szCs w:val="20"/>
        </w:rPr>
        <w:t>Fuentes de alunza-edu: diseño previsto, implementación, pruebas locales del 23/10 y aceptación académica pendiente. Las minutas y capturas históricas conservan sus fechas.</w:t>
      </w:r>
    </w:p>
    <w:p>
      <w:pPr>
        <w:jc w:val="left"/>
        <w:spacing w:before="0" w:after="70" w:line="240" w:lineRule="auto"/>
      </w:pPr>
      <w:r>
        <w:rPr>
          <w:rFonts w:ascii="Calibri" w:hAnsi="Calibri"/>
          <w:color w:val="1F3864"/>
          <w:sz w:val="20"/>
          <w:szCs w:val="20"/>
        </w:rPr>
        <w:t>E1. Evidencia local del 23/10/2026: docs/work/evidence/imp-03/verification-summary.json, ci.json, acceptance.json y e2e.json. Aprobadas: 675 unitarias/contratos, 111 HTTP, 313 SQL, 78 Docker y 34 Cypress; 14 controles de CI. p95 SUBMIT concurrente 3502,71 ms frente a &lt;5000 ms; alcance medido local, sin extrapolación productiva.</w:t>
      </w:r>
    </w:p>
    <w:p>
      <w:pPr>
        <w:jc w:val="left"/>
        <w:spacing w:before="0" w:after="70" w:line="240" w:lineRule="auto"/>
      </w:pPr>
      <w:r>
        <w:rPr>
          <w:rFonts w:ascii="Calibri" w:hAnsi="Calibri"/>
          <w:color w:val="1F3864"/>
          <w:sz w:val="20"/>
          <w:szCs w:val="20"/>
        </w:rPr>
        <w:t xml:space="preserve">E2. Definición y alcance del MVP. Fuentes: Informe_ERS_Alunza.docx, Acta_de_Constitucion_Alunza.docx y Product_Backlog_Alunza.xlsx de Evidencias CAPSTONE/Fase 1/Evidencias de proyecto; specs/01-producto-y-alcance.md y specs/02-requisitos-funcionales.md. La línea base conserva 27 requisitos Must para Programación I con JavaScript, evaluación determinista, ayuda con fuentes y seguimiento docente como objetivos.</w:t>
      </w:r>
    </w:p>
    <w:p>
      <w:pPr>
        <w:jc w:val="left"/>
        <w:spacing w:before="0" w:after="70" w:line="240" w:lineRule="auto"/>
      </w:pPr>
      <w:r>
        <w:rPr>
          <w:rFonts w:ascii="Calibri" w:hAnsi="Calibri"/>
          <w:color w:val="1F3864"/>
          <w:sz w:val="20"/>
          <w:szCs w:val="20"/>
        </w:rPr>
        <w:t>E3. Trazabilidad local. Fuentes: docs/work/IMP-03-implementation.md y docs/work/IMP-03-trazabilidad.md. El 23/10 se acreditan 14/27 RF (51,9 %): 001/002/003/004/005/007/008/009/011/014/020/021/022/023. Se conservan 36 escenarios de base y veinte nuevos; RF-010/015/024 son parciales. El 9/27 del 28/09 permanece como antecedente.</w:t>
      </w:r>
    </w:p>
    <w:p>
      <w:pPr>
        <w:jc w:val="left"/>
        <w:spacing w:before="0" w:after="70" w:line="240" w:lineRule="auto"/>
      </w:pPr>
      <w:r>
        <w:rPr>
          <w:rFonts w:ascii="Calibri" w:hAnsi="Calibri"/>
          <w:color w:val="1F3864"/>
          <w:sz w:val="20"/>
          <w:szCs w:val="20"/>
        </w:rPr>
        <w:t>Identificación del candidato IMP-03: 290 archivos de código, contratos, migraciones, pruebas, fixtures e infraestructura; SHA-256 5a5ec24f2a9535101f7cb7a303460d479a06bdf866c4b592ab1b1fcf61076194. La huella identifica el candidato probado; no equivale a un commit, despliegue o aprobación académica.</w:t>
      </w:r>
    </w:p>
    <w:p>
      <w:pPr>
        <w:jc w:val="left"/>
        <w:spacing w:before="0" w:after="70" w:line="240" w:lineRule="auto"/>
      </w:pPr>
      <w:r>
        <w:rPr>
          <w:rFonts w:ascii="Calibri" w:hAnsi="Calibri"/>
          <w:color w:val="1F3864"/>
          <w:sz w:val="20"/>
          <w:szCs w:val="20"/>
        </w:rPr>
        <w:t>E4. Ingeniería y reproducción. Fuentes de Evidencias CAPSTONE/Fase 2/Evidencias de proyecto: DAS 1.2, Diccionario de Datos 1.3 y Documento de Proceso de Negocio 1.2, revisados el 23/10/2026. Se contrastan con packages/contracts/openapi.json, supabase/migrations/ e IMP-03-dictionary.md. docs/work/IMP-03-demo.md documenta RUN, envío, reintento, avance e historial tras cierre; la aceptación académica permanece pendiente.</w:t>
      </w:r>
    </w:p>
    <w:p>
      <w:pPr>
        <w:jc w:val="left"/>
        <w:spacing w:before="0" w:after="70" w:line="240" w:lineRule="auto"/>
      </w:pPr>
      <w:r>
        <w:rPr>
          <w:rFonts w:ascii="Calibri" w:hAnsi="Calibri"/>
          <w:color w:val="1F3864"/>
          <w:sz w:val="20"/>
          <w:szCs w:val="20"/>
        </w:rPr>
        <w:t xml:space="preserve">E5. Captura del corte académico. La imagen siguiente procede de alunza-edu/docs/work/evidence/imp-02 y muestra datos ficticios del 28/09/2026. Complementa la evidencia de estructura y editor. No demuestra ejecución actual, integración remota, resultados de aprendizaje ni uso con personas reales.</w:t>
      </w:r>
    </w:p>
    <w:p>
      <w:pPr>
        <w:jc w:val="center"/>
        <w:spacing w:after="100"/>
      </w:pPr>
      <w:r>
        <w:drawing>
          <wp:inline distT="0" distB="0" distL="0" distR="0">
            <wp:extent cx="5943600" cy="2938727"/>
            <wp:docPr id="710" name="Evidencia de Alunza" descr="Captura histórica de la interfaz académica con datos ficticios del corte IMP-02"/>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imp02-estudiante-editor.png"/>
                    <ns0:cNvPicPr/>
                  </ns0:nvPicPr>
                  <ns0:blipFill>
                    <ns0:blip xmlns:ns0="http://schemas.openxmlformats.org/drawingml/2006/main" r:embed="rIdAlunzaEvidence"/>
                    <ns0:stretch xmlns:ns0="http://schemas.openxmlformats.org/drawingml/2006/main">
                      <ns0:fillRect/>
                    </ns0:stretch>
                  </ns0:blipFill>
                  <ns0:spPr>
                    <ns0:xfrm xmlns:ns0="http://schemas.openxmlformats.org/drawingml/2006/main">
                      <ns0:off x="0" y="0"/>
                      <ns0:ext cx="5943600" cy="2938727"/>
                    </ns0:xfrm>
                    <ns0:prstGeom xmlns:ns0="http://schemas.openxmlformats.org/drawingml/2006/main" prst="rect">
                      <ns0:avLst/>
                    </ns0:prstGeom>
                  </ns0:spPr>
                </ns0:pic>
              </ns0:graphicData>
            </ns0:graphic>
          </wp:inline>
        </w:drawing>
      </w:r>
    </w:p>
    <w:p>
      <w:pPr>
        <w:jc w:val="left"/>
        <w:spacing w:before="0" w:after="70" w:line="240" w:lineRule="auto"/>
      </w:pPr>
      <w:r>
        <w:rPr>
          <w:rFonts w:ascii="Calibri" w:hAnsi="Calibri"/>
          <w:color w:val="1F3864"/>
          <w:sz w:val="20"/>
          <w:szCs w:val="20"/>
        </w:rPr>
        <w:t xml:space="preserve">Figura E5. Editor y pruebas visibles de IMP-02, 28/09/2026. El texto +42 pertenece al ensayo de borrador; no es una solución evaluada.</w:t>
      </w:r>
    </w:p>
    <w:p>
      <w:pPr>
        <w:jc w:val="left"/>
        <w:spacing w:before="0" w:after="70" w:line="240" w:lineRule="auto"/>
      </w:pPr>
      <w:r>
        <w:rPr>
          <w:rFonts w:ascii="Calibri" w:hAnsi="Calibri"/>
          <w:color w:val="1F3864"/>
          <w:sz w:val="20"/>
          <w:szCs w:val="20"/>
        </w:rPr>
        <w:t xml:space="preserve">Fuentes: ERS 1.3, Acta, casos de uso, Backlog, Roadmap y minutas de Fase 1. Minutas de Fase 2: Evidencias CAPSTONE/Fase 2/Evidencias de proyecto/minutas/. F2-01–F2-11, en orden: 08, 11, 15, 22, 25 y 29/09; 02, 06, 09, 13 y 16/10/2026. Se omite el 18/09; revisión del equipo pendiente.</w:t>
      </w:r>
    </w:p>
    <w:sectPr w:rsidR="001202BF">
      <w:footerReference w:type="default" r:id="rIdAlunzaFooter"/>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alunza.xml><?xml version="1.0" encoding="utf-8"?>
<w:ftr xmlns:w="http://schemas.openxmlformats.org/wordprocessingml/2006/main">
  <w:p>
    <w:pPr>
      <w:jc w:val="right"/>
      <w:spacing w:before="0" w:after="70" w:line="240" w:lineRule="auto"/>
    </w:pPr>
    <w:r>
      <w:rPr>
        <w:rFonts w:ascii="Calibri" w:hAnsi="Calibri"/>
        <w:color w:val="1F3864"/>
        <w:sz w:val="18"/>
        <w:szCs w:val="18"/>
      </w:rPr>
      <w:t xml:space="preserve"/>
    </w:r>
    <w:r>
      <w:rPr>
        <w:rFonts w:ascii="Calibri" w:hAnsi="Calibri"/>
        <w:sz w:val="18"/>
        <w:color w:val="1F3864"/>
      </w:rPr>
      <w:t xml:space="preserve">Página </w:t>
    </w:r>
    <w:r>
      <w:rPr>
        <w:rFonts w:ascii="Calibri" w:hAnsi="Calibri"/>
        <w:sz w:val="18"/>
        <w:color w:val="1F3864"/>
      </w:rPr>
      <w:fldChar w:fldCharType="begin"/>
    </w:r>
    <w:r>
      <w:instrText xml:space="preserve"> PAGE </w:instrText>
    </w:r>
    <w:r>
      <w:fldChar w:fldCharType="end"/>
    </w:r>
    <w:r>
      <w:rPr>
        <w:rFonts w:ascii="Calibri" w:hAnsi="Calibri"/>
        <w:sz w:val="18"/>
        <w:color w:val="1F3864"/>
      </w:rPr>
      <w:t xml:space="preserve"> de </w:t>
    </w:r>
    <w:r>
      <w:rPr>
        <w:rFonts w:ascii="Calibri" w:hAnsi="Calibri"/>
        <w:sz w:val="18"/>
        <w:color w:val="1F3864"/>
      </w:rPr>
      <w:fldChar w:fldCharType="begin"/>
    </w:r>
    <w:r>
      <w:instrText xml:space="preserve"> NUMPAGES </w:instrTex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AlunzaEvidence" Type="http://schemas.openxmlformats.org/officeDocument/2006/relationships/image" Target="media/alunza-evidence.png"/><Relationship Id="rIdAlunzaFooter" Type="http://schemas.openxmlformats.org/officeDocument/2006/relationships/footer" Target="footer-alunza.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2329</Words>
  <Characters>15010</Characters>
  <Application>Microsoft Office Word</Application>
  <DocSecurity>0</DocSecurity>
  <Lines>22</Lines>
  <Paragraphs>6</Paragraphs>
  <ScaleCrop>false</ScaleCrop>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Alunza</dc:creator>
  <cp:keywords/>
  <dc:description/>
  <cp:lastModifiedBy>Revisión documental</cp:lastModifiedBy>
  <cp:revision>11</cp:revision>
  <dcterms:created xsi:type="dcterms:W3CDTF">2022-08-24T18:22:00Z</dcterms:created>
  <dcterms:modified xsi:type="dcterms:W3CDTF">2026-10-16T23:25:35Z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