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0" w:after="160" w:line="240" w:lineRule="auto"/>
      </w:pPr>
      <w:r>
        <w:rPr>
          <w:rFonts w:ascii="Calibri" w:hAnsi="Calibri" w:cs="Calibri"/>
          <w:sz w:val="22"/>
          <w:color w:val="000000"/>
          <w:b/>
        </w:rPr>
        <w:t>Marcelo Núñez | Proyecto Alunza | 23 de octubre de 2026</w:t>
      </w:r>
    </w:p>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pPr>
        <w:spacing w:before="0" w:after="120" w:line="240" w:lineRule="auto"/>
      </w:pPr>
      <w:r>
        <w:rPr>
          <w:rFonts w:ascii="Calibri" w:hAnsi="Calibri" w:cs="Calibri"/>
          <w:sz w:val="2"/>
          <w:color w:val="000000"/>
        </w:rPr>
        <w:t/>
      </w: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pPr>
        <w:spacing w:before="0" w:after="150" w:line="240" w:lineRule="auto"/>
      </w:pPr>
      <w:r>
        <w:rPr>
          <w:rFonts w:ascii="Calibri" w:hAnsi="Calibri" w:cs="Calibri"/>
          <w:sz w:val="2"/>
          <w:color w:val="000000"/>
        </w:rPr>
        <w:t/>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cantSplit/>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keepNext/>
            </w:pPr>
            <w:r w:rsidRPr="3D28A338">
              <w:rPr>
                <w:rFonts w:eastAsiaTheme="majorEastAsia"/>
                <w:sz w:val="24"/>
                <w:szCs w:val="24"/>
              </w:rPr>
              <w:t>1. Mira tu carta Gantt y reflexiona sobre los avances de tu Proyecto APT</w:t>
            </w:r>
          </w:p>
        </w:tc>
      </w:tr>
      <w:tr w:rsidR="004F2A8B" w14:paraId="6ED2840D" w14:textId="77777777" w:rsidTr="3D28A338">
        <w:trPr>
          <w:cantSplit/>
        </w:trPr>
        <w:tc>
          <w:tcPr>
            <w:tcW w:w="10076" w:type="dxa"/>
            <w:shd w:val="clear" w:color="auto" w:fill="DEEAF6" w:themeFill="accent1" w:themeFillTint="33"/>
            <w:vAlign w:val="center"/>
            <w:tcMar>
              <w:top w:w="110" w:type="dxa"/>
              <w:bottom w:w="110" w:type="dxa"/>
              <w:left w:w="110" w:type="dxa"/>
              <w:right w:w="110" w:type="dxa"/>
            </w:tcMar>
          </w:tcPr>
          <w:p w14:paraId="7F313DAB" w14:textId="77777777" w:rsidR="004F2A8B" w:rsidRPr="00931701" w:rsidRDefault="004F2A8B" w:rsidP="3D28A338">
            <w:pPr>
              <w:jc w:val="both"/>
              <w:rPr>
                <w:rFonts w:eastAsiaTheme="majorEastAsia"/>
                <w:color w:val="767171" w:themeColor="background2" w:themeShade="80"/>
                <w:sz w:val="24"/>
                <w:szCs w:val="24"/>
              </w:rPr>
              <w:keepNext/>
              <w:spacing w:after="120" w:line="240" w:lineRule="auto"/>
            </w:pPr>
            <w:r w:rsidRPr="3D28A338">
              <w:rPr>
                <w:rFonts w:eastAsiaTheme="majorEastAsia"/>
                <w:sz w:val="24"/>
                <w:szCs w:val="24"/>
              </w:rPr>
              <w:t>¿Has podido cumplir todas las actividades en los tiempos definidos? ¿Qué factores han facilitado o dificultado el desarrollo de las actividades de tu plan de trabajo?</w:t>
            </w:r>
          </w:p>
          <w:p>
            <w:pPr>
              <w:spacing w:before="0" w:after="100" w:line="240" w:lineRule="auto"/>
            </w:pPr>
            <w:r>
              <w:rPr>
                <w:rFonts w:ascii="Calibri" w:hAnsi="Calibri" w:cs="Calibri"/>
                <w:sz w:val="22"/>
                <w:color w:val="000000"/>
              </w:rPr>
              <w:t>Al contrastar la planificación con la evidencia disponible al 23 de octubre de 2026, observo un avance de 14 de 27 requisitos probados localmente, equivalente al 51,9 %. Esa cifra permite evaluar cobertura funcional, pero no demuestra por sí sola que todas las actividades de la carta Gantt hayan terminado en sus fechas previstas. Identifico como facilitadores las especificaciones compartidas, la división por incrementos y las pruebas reproducibles. Las principales dificultades se relacionan con la integración entre componentes, la persistencia de entregas y el comportamiento bajo concurrencia. Para mejorar el seguimiento, propongo revisar cada actividad pendiente con su dependencia, responsable y evidencia de cierre, y actualizar las fechas cuando exista una estimación respaldada.</w:t>
            </w:r>
          </w:p>
        </w:tc>
      </w:tr>
    </w:tbl>
    <w:p>
      <w:pPr>
        <w:spacing w:before="0" w:after="150" w:line="240" w:lineRule="auto"/>
      </w:pPr>
      <w:r>
        <w:rPr>
          <w:rFonts w:ascii="Calibri" w:hAnsi="Calibri" w:cs="Calibri"/>
          <w:sz w:val="2"/>
          <w:color w:val="000000"/>
        </w:rPr>
        <w:t/>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cantSplit/>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keepNext/>
            </w:pPr>
            <w:r w:rsidRPr="3D28A338">
              <w:rPr>
                <w:rFonts w:eastAsiaTheme="majorEastAsia"/>
                <w:sz w:val="24"/>
                <w:szCs w:val="24"/>
              </w:rPr>
              <w:t xml:space="preserve">2. Dificultades y acciones de mejora</w:t>
            </w:r>
          </w:p>
        </w:tc>
      </w:tr>
      <w:tr w:rsidR="004F2A8B" w14:paraId="49566276" w14:textId="77777777" w:rsidTr="3D28A338">
        <w:trPr>
          <w:cantSplit/>
        </w:trPr>
        <w:tc>
          <w:tcPr>
            <w:tcW w:w="10076" w:type="dxa"/>
            <w:shd w:val="clear" w:color="auto" w:fill="DEEAF6" w:themeFill="accent1" w:themeFillTint="33"/>
            <w:vAlign w:val="center"/>
            <w:tcMar>
              <w:top w:w="110" w:type="dxa"/>
              <w:bottom w:w="110" w:type="dxa"/>
              <w:left w:w="110" w:type="dxa"/>
              <w:right w:w="110" w:type="dxa"/>
            </w:tcMar>
          </w:tcPr>
          <w:p w14:paraId="2106E7A8" w14:textId="77777777" w:rsidR="004F2A8B" w:rsidRPr="003B466F" w:rsidRDefault="004F2A8B" w:rsidP="3D28A338">
            <w:pPr>
              <w:jc w:val="both"/>
              <w:rPr>
                <w:rFonts w:eastAsiaTheme="majorEastAsia"/>
                <w:color w:val="767171" w:themeColor="background2" w:themeShade="80"/>
                <w:sz w:val="24"/>
                <w:szCs w:val="24"/>
              </w:rPr>
              <w:keepNext/>
              <w:spacing w:after="120" w:line="240" w:lineRule="auto"/>
            </w:pPr>
            <w:r w:rsidRPr="3D28A338">
              <w:rPr>
                <w:rFonts w:eastAsiaTheme="majorEastAsia"/>
                <w:sz w:val="24"/>
                <w:szCs w:val="24"/>
              </w:rPr>
              <w:t xml:space="preserve">¿De qué manera has enfrentado y/o planeas enfrentar las dificultades que han afectado el desarrollo de tu Proyecto APT? </w:t>
            </w:r>
          </w:p>
          <w:p>
            <w:pPr>
              <w:spacing w:before="0" w:after="100" w:line="240" w:lineRule="auto"/>
            </w:pPr>
            <w:r>
              <w:rPr>
                <w:rFonts w:ascii="Calibri" w:hAnsi="Calibri" w:cs="Calibri"/>
                <w:sz w:val="22"/>
                <w:color w:val="000000"/>
              </w:rPr>
              <w:t>He comprendido que avanzar exige resolver primero las dependencias que pueden afectar varios componentes. Por eso, planeo organizar los pendientes en tareas pequeñas con criterios de aceptación verificables, comenzando por la integración de ayuda y retroalimentación y su comportamiento ante fallas del proveedor. También considero necesario mantener pruebas de regresión para evitar que una mejora altere los permisos, la persistencia de intentos o el progreso por actividad. Ante un bloqueo, procuraré describir el escenario, la evidencia disponible y las alternativas antes de solicitar apoyo. Este enfoque me permitirá priorizar con mejores fundamentos y distinguir entre una función desarrollada, una función probada localmente y una integración que todavía necesita validación.</w:t>
            </w:r>
          </w:p>
        </w:tc>
      </w:tr>
    </w:tbl>
    <w:p>
      <w:pPr>
        <w:spacing w:before="0" w:after="150" w:line="240" w:lineRule="auto"/>
        <w:pageBreakBefore/>
      </w:pPr>
      <w:r>
        <w:rPr>
          <w:rFonts w:ascii="Calibri" w:hAnsi="Calibri" w:cs="Calibri"/>
          <w:sz w:val="2"/>
          <w:color w:val="000000"/>
        </w:rPr>
        <w:t/>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cantSplit/>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keepNext/>
            </w:pPr>
            <w:r w:rsidRPr="3D28A338">
              <w:rPr>
                <w:rFonts w:eastAsiaTheme="majorEastAsia"/>
                <w:sz w:val="24"/>
                <w:szCs w:val="24"/>
              </w:rPr>
              <w:t>3. Hasta el momento:</w:t>
            </w:r>
          </w:p>
        </w:tc>
      </w:tr>
      <w:tr w:rsidR="004F2A8B" w14:paraId="6AA73947" w14:textId="77777777" w:rsidTr="3D28A338">
        <w:trPr>
          <w:cantSplit/>
        </w:trPr>
        <w:tc>
          <w:tcPr>
            <w:tcW w:w="10076" w:type="dxa"/>
            <w:shd w:val="clear" w:color="auto" w:fill="DEEAF6" w:themeFill="accent1" w:themeFillTint="33"/>
            <w:vAlign w:val="center"/>
            <w:tcMar>
              <w:top w:w="110" w:type="dxa"/>
              <w:bottom w:w="110" w:type="dxa"/>
              <w:left w:w="110" w:type="dxa"/>
              <w:right w:w="110" w:type="dxa"/>
            </w:tcMar>
          </w:tcPr>
          <w:p w14:paraId="3EAFB452" w14:textId="7207A9F2" w:rsidR="004F2A8B" w:rsidRPr="003B466F" w:rsidRDefault="004F2A8B" w:rsidP="3D28A338">
            <w:pPr>
              <w:jc w:val="both"/>
              <w:rPr>
                <w:rFonts w:eastAsiaTheme="majorEastAsia"/>
                <w:color w:val="767171" w:themeColor="background2" w:themeShade="80"/>
                <w:sz w:val="24"/>
                <w:szCs w:val="24"/>
              </w:rPr>
              <w:keepNext/>
              <w:spacing w:after="120" w:line="240" w:lineRule="auto"/>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pPr>
              <w:spacing w:before="0" w:after="100" w:line="240" w:lineRule="auto"/>
            </w:pPr>
            <w:r>
              <w:rPr>
                <w:rFonts w:ascii="Calibri" w:hAnsi="Calibri" w:cs="Calibri"/>
                <w:sz w:val="22"/>
                <w:color w:val="000000"/>
              </w:rPr>
              <w:t>Evalúo mi trabajo desde la capacidad de comprender el problema, justificar decisiones y reconocer lo que todavía falta. Destaco mi disposición a revisar supuestos y a relacionar la implementación con los requisitos del proyecto. Un aprendizaje importante ha sido distinguir RUN, que permite probar sin registrar un intento, de SUBMIT, que conserva la entrega y sus resultados. También entiendo que las 25 tablas y los 292 atributos deben mantener correspondencia con el diccionario y las reglas de negocio. Puedo mejorar mi organización y la claridad de mis explicaciones. Me propongo preparar revisiones más breves, documentar las dudas antes de discutirlas y comprobar la trazabilidad de cada conclusión técnica.</w:t>
            </w:r>
          </w:p>
        </w:tc>
      </w:tr>
    </w:tbl>
    <w:p>
      <w:pPr>
        <w:spacing w:before="0" w:after="150" w:line="240" w:lineRule="auto"/>
      </w:pPr>
      <w:r>
        <w:rPr>
          <w:rFonts w:ascii="Calibri" w:hAnsi="Calibri" w:cs="Calibri"/>
          <w:sz w:val="2"/>
          <w:color w:val="000000"/>
        </w:rPr>
        <w:t/>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cantSplit/>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keepNext/>
            </w:pPr>
            <w:r w:rsidRPr="3D28A338">
              <w:rPr>
                <w:rFonts w:eastAsiaTheme="majorEastAsia"/>
                <w:sz w:val="24"/>
                <w:szCs w:val="24"/>
              </w:rPr>
              <w:t>4. Después de reflexionar sobre el avance de tu Proyecto APT</w:t>
            </w:r>
          </w:p>
        </w:tc>
      </w:tr>
      <w:tr w:rsidR="004F2A8B" w14:paraId="73E50CEC" w14:textId="77777777" w:rsidTr="3D28A338">
        <w:trPr>
          <w:cantSplit/>
        </w:trPr>
        <w:tc>
          <w:tcPr>
            <w:tcW w:w="10076" w:type="dxa"/>
            <w:shd w:val="clear" w:color="auto" w:fill="DEEAF6" w:themeFill="accent1" w:themeFillTint="33"/>
            <w:vAlign w:val="center"/>
            <w:tcMar>
              <w:top w:w="110" w:type="dxa"/>
              <w:bottom w:w="110" w:type="dxa"/>
              <w:left w:w="110" w:type="dxa"/>
              <w:right w:w="110" w:type="dxa"/>
            </w:tcMar>
          </w:tcPr>
          <w:p w14:paraId="1670D69E" w14:textId="77777777" w:rsidR="004F2A8B" w:rsidRPr="003B466F" w:rsidRDefault="004F2A8B" w:rsidP="3D28A338">
            <w:pPr>
              <w:jc w:val="both"/>
              <w:rPr>
                <w:rFonts w:eastAsiaTheme="majorEastAsia"/>
                <w:color w:val="767171" w:themeColor="background2" w:themeShade="80"/>
                <w:sz w:val="24"/>
                <w:szCs w:val="24"/>
              </w:rPr>
              <w:keepNext/>
              <w:spacing w:after="120" w:line="240" w:lineRule="auto"/>
            </w:pPr>
            <w:r w:rsidRPr="3D28A338">
              <w:rPr>
                <w:rFonts w:eastAsiaTheme="majorEastAsia"/>
                <w:sz w:val="24"/>
                <w:szCs w:val="24"/>
              </w:rPr>
              <w:t>¿Qué inquietudes te quedan sobre cómo proceder? ¿Qué pregunta te gustaría hacerle a tu docente o a tus pares?</w:t>
            </w:r>
          </w:p>
          <w:p>
            <w:pPr>
              <w:spacing w:before="0" w:after="100" w:line="240" w:lineRule="auto"/>
            </w:pPr>
            <w:r>
              <w:rPr>
                <w:rFonts w:ascii="Calibri" w:hAnsi="Calibri" w:cs="Calibri"/>
                <w:sz w:val="22"/>
                <w:color w:val="000000"/>
              </w:rPr>
              <w:t>Mi principal inquietud es cómo priorizar el alcance restante sin debilitar la calidad de lo que ya puede demostrarse. Aún no cuento con retroalimentación del docente para este avance, por lo que plantearía preguntas concretas: ¿qué evidencia espera para evaluar las integraciones pendientes?, ¿cómo recomienda presentar las limitaciones de la validación local en la entrega final? A mis compañeros les preguntaría qué dependencia consideran más urgente y qué apoyo necesitan para cerrar sus tareas. También propondría revisar juntos cómo demostrar una falla del proveedor de ayuda sin perder el intento persistido. Registrar esas respuestas permitiría convertir las dudas en acciones y criterios verificables.</w:t>
            </w:r>
          </w:p>
        </w:tc>
      </w:tr>
    </w:tbl>
    <w:p>
      <w:pPr>
        <w:spacing w:before="0" w:after="150" w:line="240" w:lineRule="auto"/>
        <w:pageBreakBefore/>
      </w:pPr>
      <w:r>
        <w:rPr>
          <w:rFonts w:ascii="Calibri" w:hAnsi="Calibri" w:cs="Calibri"/>
          <w:sz w:val="2"/>
          <w:color w:val="000000"/>
        </w:rPr>
        <w:t/>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cantSplit/>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keepNext/>
            </w:pPr>
            <w:r w:rsidRPr="3D28A338">
              <w:rPr>
                <w:rFonts w:eastAsiaTheme="majorEastAsia"/>
                <w:sz w:val="24"/>
                <w:szCs w:val="24"/>
              </w:rPr>
              <w:t>5. A partir de esta instancia de monitoreo de su Proyecto APT</w:t>
            </w:r>
          </w:p>
        </w:tc>
      </w:tr>
      <w:tr w:rsidR="004F2A8B" w14:paraId="7C63D85E" w14:textId="77777777" w:rsidTr="3D28A338">
        <w:trPr>
          <w:cantSplit/>
        </w:trPr>
        <w:tc>
          <w:tcPr>
            <w:tcW w:w="10076" w:type="dxa"/>
            <w:shd w:val="clear" w:color="auto" w:fill="DEEAF6" w:themeFill="accent1" w:themeFillTint="33"/>
            <w:vAlign w:val="center"/>
            <w:tcMar>
              <w:top w:w="110" w:type="dxa"/>
              <w:bottom w:w="110" w:type="dxa"/>
              <w:left w:w="110" w:type="dxa"/>
              <w:right w:w="110" w:type="dxa"/>
            </w:tcMar>
          </w:tcPr>
          <w:p w14:paraId="4B25577F" w14:textId="77777777" w:rsidR="004F2A8B" w:rsidRDefault="004F2A8B" w:rsidP="3D28A338">
            <w:pPr>
              <w:jc w:val="both"/>
              <w:rPr>
                <w:rFonts w:eastAsiaTheme="majorEastAsia"/>
                <w:color w:val="767171" w:themeColor="background2" w:themeShade="80"/>
                <w:sz w:val="24"/>
                <w:szCs w:val="24"/>
              </w:rPr>
              <w:keepNext/>
              <w:spacing w:after="120" w:line="240" w:lineRule="auto"/>
            </w:pPr>
            <w:r w:rsidRPr="3D28A338">
              <w:rPr>
                <w:rFonts w:eastAsiaTheme="majorEastAsia"/>
                <w:sz w:val="24"/>
                <w:szCs w:val="24"/>
              </w:rPr>
              <w:t>¿Consideran que las actividades deben ser redistribuidas entre los miembros del grupo? ¿Hay nuevas actividades que deban ser asignadas a algún miembro del grupo?</w:t>
            </w:r>
          </w:p>
          <w:p>
            <w:pPr>
              <w:spacing w:before="0" w:after="100" w:line="240" w:lineRule="auto"/>
            </w:pPr>
            <w:r>
              <w:rPr>
                <w:rFonts w:ascii="Calibri" w:hAnsi="Calibri" w:cs="Calibri"/>
                <w:sz w:val="22"/>
                <w:color w:val="000000"/>
              </w:rPr>
              <w:t>Considero conveniente revisar la distribución del trabajo según las dependencias pendientes y la disponibilidad de cada integrante. Como propuesta por acordar con el grupo, yo, Marcelo Núñez, podría concentrarme en la coordinación técnica y el backend; Abraham, en el modelo de datos y las pruebas; y Benjamin, en la interfaz y la preparación de evidencias del recorrido de usuario. Esta distribución debería incluir apoyo cruzado para evitar que una persona concentre toda la información de un componente. También propondría asignar responsables y revisores para la integración de ayuda, la comprobación de regresiones y la actualización documental. Antes de fijar fechas, revisaría con mis compañeros la carga de trabajo y los criterios de término.</w:t>
            </w:r>
          </w:p>
        </w:tc>
      </w:tr>
    </w:tbl>
    <w:p>
      <w:pPr>
        <w:spacing w:before="0" w:after="150" w:line="240" w:lineRule="auto"/>
      </w:pPr>
      <w:r>
        <w:rPr>
          <w:rFonts w:ascii="Calibri" w:hAnsi="Calibri" w:cs="Calibri"/>
          <w:sz w:val="2"/>
          <w:color w:val="000000"/>
        </w:rPr>
        <w:t/>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cantSplit/>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keepNext/>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cantSplit/>
        </w:trPr>
        <w:tc>
          <w:tcPr>
            <w:tcW w:w="10076" w:type="dxa"/>
            <w:shd w:val="clear" w:color="auto" w:fill="DEEAF6" w:themeFill="accent1" w:themeFillTint="33"/>
            <w:vAlign w:val="center"/>
            <w:tcMar>
              <w:top w:w="110" w:type="dxa"/>
              <w:bottom w:w="110" w:type="dxa"/>
              <w:left w:w="110" w:type="dxa"/>
              <w:right w:w="110" w:type="dxa"/>
            </w:tcMar>
          </w:tcPr>
          <w:p w14:paraId="4F1699EE" w14:textId="77777777" w:rsidR="004F2A8B" w:rsidRDefault="004F2A8B" w:rsidP="3D28A338">
            <w:pPr>
              <w:jc w:val="both"/>
              <w:rPr>
                <w:rFonts w:eastAsiaTheme="majorEastAsia"/>
                <w:color w:val="767171" w:themeColor="background2" w:themeShade="80"/>
                <w:sz w:val="24"/>
                <w:szCs w:val="24"/>
              </w:rPr>
              <w:keepNext/>
              <w:spacing w:after="120" w:line="240" w:lineRule="auto"/>
            </w:pPr>
            <w:r w:rsidRPr="3D28A338">
              <w:rPr>
                <w:rFonts w:eastAsiaTheme="majorEastAsia"/>
                <w:sz w:val="24"/>
                <w:szCs w:val="24"/>
              </w:rPr>
              <w:t>¿Cómo evalúan el trabajo en grupo? ¿Qué aspectos positivos destacan? ¿Qué aspectos podrían mejorar?</w:t>
            </w:r>
          </w:p>
          <w:p>
            <w:pPr>
              <w:spacing w:before="0" w:after="100" w:line="240" w:lineRule="auto"/>
            </w:pPr>
            <w:r>
              <w:rPr>
                <w:rFonts w:ascii="Calibri" w:hAnsi="Calibri" w:cs="Calibri"/>
                <w:sz w:val="22"/>
                <w:color w:val="000000"/>
              </w:rPr>
              <w:t>Valoro que el trabajo del grupo cuente con una base común de requisitos, documentos técnicos y once minutas entre el 8 de septiembre y el 16 de octubre de 2026. Estos registros ayudan a seguir los acuerdos y a distinguir lo observado en cada reunión de los avances posteriores. Desde mi perspectiva, una fortaleza es combinar distintas áreas de interés para abordar interfaz, backend y datos. Podemos mejorar la comunicación de bloqueos y la revisión conjunta de entregables. Propongo que cada reunión cierre con tareas, responsables, dependencias y evidencia esperada, y que la siguiente comience revisando esos compromisos. Así podríamos detectar diferencias de interpretación antes de que afecten la integración.</w:t>
            </w:r>
          </w:p>
        </w:tc>
      </w:tr>
    </w:tbl>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