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60" w:line="240" w:lineRule="auto"/>
      </w:pPr>
      <w:r>
        <w:rPr>
          <w:rFonts w:ascii="Calibri" w:hAnsi="Calibri" w:eastAsia="Calibri"/>
          <w:b/>
          <w:color w:val="0D7C78"/>
          <w:sz w:val="17"/>
          <w:lang w:val="es-CL"/>
        </w:rPr>
        <w:t>REGISTRO DE REUNIÓN</w:t>
      </w:r>
    </w:p>
    <w:p>
      <w:pPr>
        <w:pStyle w:val="AlunzaTitle"/>
      </w:pPr>
      <w:r>
        <w:t>Minuta de reunión</w:t>
      </w:r>
    </w:p>
    <w:p>
      <w:pPr>
        <w:pStyle w:val="AlunzaSubtitle"/>
      </w:pPr>
      <w:r>
        <w:t>Problema, usuarios y propuesta de valor inicial</w:t>
      </w:r>
    </w:p>
    <w:p>
      <w:pPr>
        <w:keepNext/>
        <w:widowControl/>
        <w:spacing w:before="0" w:after="140" w:line="240" w:lineRule="auto"/>
        <w:pBdr>
          <w:bottom w:val="single" w:sz="16" w:space="4" w:color="F2B600"/>
        </w:pBdr>
      </w:pPr>
      <w:r>
        <w:rPr>
          <w:rFonts w:ascii="Calibri" w:hAnsi="Calibri" w:eastAsia="Calibri"/>
          <w:b/>
          <w:color w:val="555B63"/>
          <w:sz w:val="18"/>
          <w:lang w:val="es-CL"/>
        </w:rPr>
        <w:t>ALZ-MIN-002   ·   SEMANA 1   ·   SESIÓN B  ·  S0  ·  v1.1</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Proyecto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Alunza — Tutor Universitario Inteligente para Programación I</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Código</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ALZ-MIN-002</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Semana / sesión</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Semana 1 · Sesión B</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Fecha y hora</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13 de agosto de 2026 · 18:30 a 19:10</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Modalidad</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Duoc UC, sede Puente Alto · reunión interna presencial</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Tipo de reunión</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Descubrimiento y definición de producto</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Sprint / iteración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S0 - Alineación y descubrimiento (semanas 1-2)</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Versión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1.1</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Seguimiento</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C-001 a C-003: cerrados en definición; visión, matriz CAPSTONE y riesgos iniciales incorporados.</w:t>
            </w:r>
            <w:r>
              <w:rPr>
                <w:rFonts w:ascii="Arial" w:hAnsi="Arial" w:eastAsia="Calibri"/>
                <w:b w:val="0"/>
                <w:i w:val="0"/>
                <w:color w:val="212529"/>
                <w:sz w:val="18"/>
                <w:lang w:val="es-CL"/>
              </w:rPr>
            </w:r>
          </w:p>
        </w:tc>
      </w:tr>
    </w:tbl>
    <w:p>
      <w:pPr>
        <w:pStyle w:val="AlunzaSection"/>
        <w:keepNext/>
        <w:spacing w:before="120" w:after="60"/>
      </w:pPr>
      <w:r>
        <w:rPr>
          <w:rFonts w:ascii="Calibri" w:hAnsi="Calibri" w:eastAsia="Calibri"/>
          <w:b/>
          <w:color w:val="0D7C78"/>
          <w:sz w:val="24"/>
          <w:lang w:val="es-CL"/>
        </w:rPr>
        <w:t xml:space="preserve">1. </w:t>
      </w:r>
      <w:r>
        <w:rPr>
          <w:rFonts w:ascii="Calibri" w:hAnsi="Calibri" w:eastAsia="Calibri"/>
          <w:b/>
          <w:color w:val="10243A"/>
          <w:sz w:val="24"/>
          <w:lang w:val="es-CL"/>
        </w:rPr>
        <w:t>Objetivo de la reunión</w:t>
      </w:r>
    </w:p>
    <w:p>
      <w:pPr>
        <w:keepLines w:val="0"/>
        <w:widowControl/>
        <w:spacing w:before="0" w:after="80" w:line="259" w:lineRule="auto"/>
        <w:jc w:val="left"/>
      </w:pPr>
      <w:r>
        <w:rPr>
          <w:rFonts w:ascii="Calibri" w:hAnsi="Calibri" w:eastAsia="Calibri"/>
          <w:i w:val="0"/>
          <w:color w:val="222222"/>
          <w:sz w:val="20"/>
          <w:lang w:val="es-CL"/>
        </w:rPr>
        <w:t>Precisar qué dificultad enfrentan estudiantes y profesores de Programación I, quién sería el cliente de la solución y qué promesa puede sostenerse dentro del proyecto.</w:t>
      </w:r>
    </w:p>
    <w:p>
      <w:pPr>
        <w:pStyle w:val="AlunzaSection"/>
        <w:keepNext/>
        <w:spacing w:before="120" w:after="60"/>
      </w:pPr>
      <w:r>
        <w:rPr>
          <w:rFonts w:ascii="Calibri" w:hAnsi="Calibri" w:eastAsia="Calibri"/>
          <w:b/>
          <w:color w:val="0D7C78"/>
          <w:sz w:val="24"/>
          <w:lang w:val="es-CL"/>
        </w:rPr>
        <w:t xml:space="preserve">2. </w:t>
      </w:r>
      <w:r>
        <w:rPr>
          <w:rFonts w:ascii="Calibri" w:hAnsi="Calibri" w:eastAsia="Calibri"/>
          <w:b/>
          <w:color w:val="10243A"/>
          <w:sz w:val="24"/>
          <w:lang w:val="es-CL"/>
        </w:rPr>
        <w:t>Participantes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2952"/>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Participante</w:t>
            </w:r>
          </w:p>
        </w:tc>
        <w:tc>
          <w:tcPr>
            <w:tcW w:type="dxa" w:w="532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Foco principal en la sesión</w:t>
            </w:r>
          </w:p>
        </w:tc>
        <w:tc>
          <w:tcPr>
            <w:tcW w:type="dxa" w:w="1296"/>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Asistencia</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Benjamin Pérez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UX/UI, frontend y documentación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Abraham Retamal</w:t>
            </w:r>
          </w:p>
        </w:tc>
        <w:tc>
          <w:tcPr>
            <w:tcW w:type="dxa" w:w="5328"/>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Datos, IA/RAG y calidad</w:t>
            </w:r>
          </w:p>
        </w:tc>
        <w:tc>
          <w:tcPr>
            <w:tcW w:type="dxa" w:w="1296"/>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Marcelo Núñez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Product Owner, backend e integración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bl>
    <w:p>
      <w:pPr>
        <w:pStyle w:val="AlunzaSection"/>
        <w:keepNext/>
        <w:spacing w:before="120" w:after="60"/>
      </w:pPr>
      <w:r>
        <w:rPr>
          <w:rFonts w:ascii="Calibri" w:hAnsi="Calibri" w:eastAsia="Calibri"/>
          <w:b/>
          <w:color w:val="0D7C78"/>
          <w:sz w:val="24"/>
          <w:lang w:val="es-CL"/>
        </w:rPr>
        <w:t xml:space="preserve">3. </w:t>
      </w:r>
      <w:r>
        <w:rPr>
          <w:rFonts w:ascii="Calibri" w:hAnsi="Calibri" w:eastAsia="Calibri"/>
          <w:b/>
          <w:color w:val="10243A"/>
          <w:sz w:val="24"/>
          <w:lang w:val="es-CL"/>
        </w:rPr>
        <w:t>Temas tratados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Dificultades del estudiante para comprender la causa de un error y decidir el siguiente paso.</w:t>
      </w:r>
    </w:p>
    <w:p>
      <w:pPr>
        <w:widowControl/>
        <w:spacing w:before="0" w:after="36" w:line="245" w:lineRule="auto"/>
        <w:ind w:left="312" w:hanging="170"/>
      </w:pPr>
      <w:r>
        <w:rPr>
          <w:rFonts w:ascii="Arial" w:hAnsi="Arial"/>
          <w:b/>
          <w:color w:val="008A8A"/>
        </w:rPr>
        <w:t xml:space="preserve">•  </w:t>
      </w:r>
      <w:r>
        <w:rPr>
          <w:rFonts w:ascii="Arial" w:hAnsi="Arial"/>
          <w:b w:val="0"/>
          <w:color w:val="212529"/>
        </w:rPr>
        <w:t>Carga del profesor al revisar intentos, test cases, pistas y patrones repetidos.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Institución educativa como cliente y modelo SaaS B2B como hipótesis comercial.</w:t>
      </w:r>
    </w:p>
    <w:p>
      <w:pPr>
        <w:widowControl/>
        <w:spacing w:before="0" w:after="36" w:line="245" w:lineRule="auto"/>
        <w:ind w:left="312" w:hanging="170"/>
      </w:pPr>
      <w:r>
        <w:rPr>
          <w:rFonts w:ascii="Arial" w:hAnsi="Arial"/>
          <w:b/>
          <w:color w:val="008A8A"/>
        </w:rPr>
        <w:t xml:space="preserve">•  </w:t>
      </w:r>
      <w:r>
        <w:rPr>
          <w:rFonts w:ascii="Arial" w:hAnsi="Arial"/>
          <w:b w:val="0"/>
          <w:color w:val="212529"/>
        </w:rPr>
        <w:t>Límites de posicionamiento: no LMS completo, no detector de plagio y no chat genérico.</w:t>
      </w:r>
    </w:p>
    <w:p>
      <w:pPr>
        <w:pStyle w:val="AlunzaSection"/>
        <w:keepNext/>
        <w:spacing w:before="120" w:after="60"/>
      </w:pPr>
      <w:r>
        <w:rPr>
          <w:rFonts w:ascii="Calibri" w:hAnsi="Calibri" w:eastAsia="Calibri"/>
          <w:b/>
          <w:color w:val="0D7C78"/>
          <w:sz w:val="24"/>
          <w:lang w:val="es-CL"/>
        </w:rPr>
        <w:t xml:space="preserve">4. </w:t>
      </w:r>
      <w:r>
        <w:rPr>
          <w:rFonts w:ascii="Calibri" w:hAnsi="Calibri" w:eastAsia="Calibri"/>
          <w:b/>
          <w:color w:val="10243A"/>
          <w:sz w:val="24"/>
          <w:lang w:val="es-CL"/>
        </w:rPr>
        <w:t>Síntesis de la sesión</w:t>
      </w:r>
    </w:p>
    <w:p>
      <w:pPr>
        <w:keepLines w:val="0"/>
        <w:widowControl/>
        <w:spacing w:before="0" w:after="0" w:line="259" w:lineRule="auto"/>
        <w:jc w:val="left"/>
      </w:pPr>
      <w:r>
        <w:rPr>
          <w:rFonts w:ascii="Calibri" w:hAnsi="Calibri" w:eastAsia="Calibri"/>
          <w:i w:val="0"/>
          <w:color w:val="222222"/>
          <w:sz w:val="20"/>
          <w:lang w:val="es-CL"/>
        </w:rPr>
        <w:t>Se compararon las necesidades de ambos usuarios. Para el estudiante, el problema no es solo recibir un resultado incorrecto, sino no comprender si la causa está en la sintaxis, la lógica, la interpretación o un caso límite. Para el profesor, el problema es la falta de tiempo para revisar el proceso de resolución de toda la clase y detectar dificultades antes de una evaluación sumativa. El equipo concluyó que la institución educativa será el cliente objetivo, mientras que profesor y estudiante serán los usuarios principales. La propuesta de valor deberá combinar feedback contextualizado, trazabilidad y señales explicables, sin afirmar resultados pedagógicos o comerciales que todavía no han sido validados.</w:t>
      </w:r>
    </w:p>
    <w:p>
      <w:r>
        <w:br w:type="page"/>
      </w:r>
    </w:p>
    <w:p>
      <w:pPr>
        <w:pStyle w:val="AlunzaSection"/>
        <w:keepNext/>
        <w:spacing w:before="120" w:after="60"/>
      </w:pPr>
      <w:r>
        <w:rPr>
          <w:rFonts w:ascii="Calibri" w:hAnsi="Calibri" w:eastAsia="Calibri"/>
          <w:b/>
          <w:color w:val="0D7C78"/>
          <w:sz w:val="24"/>
          <w:lang w:val="es-CL"/>
        </w:rPr>
        <w:t xml:space="preserve">5. </w:t>
      </w:r>
      <w:r>
        <w:rPr>
          <w:rFonts w:ascii="Calibri" w:hAnsi="Calibri" w:eastAsia="Calibri"/>
          <w:b/>
          <w:color w:val="10243A"/>
          <w:sz w:val="24"/>
          <w:lang w:val="es-CL"/>
        </w:rPr>
        <w:t>Acuerdos adoptados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blHeader/>
        </w:trPr>
        <w:tc>
          <w:tcPr>
            <w:tcW w:type="dxa" w:w="2232"/>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Tema</w:t>
            </w:r>
          </w:p>
        </w:tc>
        <w:tc>
          <w:tcPr>
            <w:tcW w:type="dxa" w:w="7344"/>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Acuerdo adoptado</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Usuarios</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Mantener profesor y estudiante como usuarios primarios; el rol de apoderado queda fuera del MVP.</w:t>
            </w:r>
          </w:p>
        </w:tc>
      </w:tr>
      <w:tr>
        <w:trPr>
          <w:cantSplit/>
        </w:trPr>
        <w:tc>
          <w:tcPr>
            <w:tcW w:type="dxa" w:w="22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10243A"/>
                <w:sz w:val="18"/>
                <w:lang w:val="es-CL"/>
              </w:rPr>
              <w:t>Cliente</w:t>
            </w:r>
          </w:p>
        </w:tc>
        <w:tc>
          <w:tcPr>
            <w:tcW w:type="dxa" w:w="7344"/>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Tratar a la institución de educación superior como cliente objetivo y al SaaS B2B como hipótesis por validar.</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Promesa</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Apoyar el aprendizaje y la toma de decisiones docentes con evidencia, sin reemplazar al profesor ni automatizar decisiones de alto impacto.</w:t>
            </w:r>
          </w:p>
        </w:tc>
      </w:tr>
    </w:tbl>
    <w:p>
      <w:pPr>
        <w:pStyle w:val="AlunzaSection"/>
        <w:keepNext/>
        <w:spacing w:before="120" w:after="60"/>
      </w:pPr>
      <w:r>
        <w:rPr>
          <w:rFonts w:ascii="Calibri" w:hAnsi="Calibri" w:eastAsia="Calibri"/>
          <w:b/>
          <w:color w:val="0D7C78"/>
          <w:sz w:val="24"/>
          <w:lang w:val="es-CL"/>
        </w:rPr>
        <w:t xml:space="preserve">6. </w:t>
      </w:r>
      <w:r>
        <w:rPr>
          <w:rFonts w:ascii="Calibri" w:hAnsi="Calibri" w:eastAsia="Calibri"/>
          <w:b/>
          <w:color w:val="10243A"/>
          <w:sz w:val="24"/>
          <w:lang w:val="es-CL"/>
        </w:rPr>
        <w:t>Compromisos y responsables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6120"/>
            <w:vAlign w:val="center"/>
            <w:tcMar>
              <w:top w:w="80" w:type="dxa"/>
              <w:start w:w="95" w:type="dxa"/>
              <w:bottom w:w="80" w:type="dxa"/>
              <w:end w:w="95" w:type="dxa"/>
            </w:tcMar>
            <w:shd w:fill="10243A" w:val="clear"/>
          </w:tcPr>
          <w:p>
            <w:pPr>
              <w:keepLines/>
              <w:widowControl/>
              <w:spacing w:before="0" w:after="0" w:line="240" w:lineRule="auto"/>
              <w:jc w:val="left"/>
            </w:pPr>
            <w:r>
              <w:rPr>
                <w:rFonts w:ascii="Arial" w:hAnsi="Arial"/>
                <w:b/>
                <w:color w:val="FFFFFF"/>
              </w:rPr>
              <w:t>ID y actividad comprometida</w:t>
            </w:r>
            <w:r>
              <w:rPr>
                <w:rFonts w:ascii="Arial" w:hAnsi="Arial" w:eastAsia="Calibri"/>
                <w:b/>
                <w:i w:val="0"/>
                <w:color w:val="FFFFFF"/>
                <w:sz w:val="18"/>
                <w:lang w:val="es-CL"/>
              </w:rPr>
            </w:r>
          </w:p>
        </w:tc>
        <w:tc>
          <w:tcPr>
            <w:tcW w:type="dxa" w:w="208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Responsable</w:t>
            </w:r>
          </w:p>
        </w:tc>
        <w:tc>
          <w:tcPr>
            <w:tcW w:type="dxa" w:w="136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Fecha</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C-004 · Preparar la definición inicial del producto y la propuesta de valor.</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Marcelo Núñez</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18-08-2026</w:t>
            </w:r>
          </w:p>
        </w:tc>
      </w:tr>
      <w:tr>
        <w:trPr>
          <w:cantSplit/>
        </w:trPr>
        <w:tc>
          <w:tcPr>
            <w:tcW w:type="dxa" w:w="6120"/>
            <w:vAlign w:val="center"/>
            <w:tcMar>
              <w:top w:w="80" w:type="dxa"/>
              <w:start w:w="95" w:type="dxa"/>
              <w:bottom w:w="80" w:type="dxa"/>
              <w:end w:w="95" w:type="dxa"/>
            </w:tcMar>
          </w:tcPr>
          <w:p>
            <w:pPr>
              <w:keepLines/>
              <w:widowControl/>
              <w:spacing w:before="0" w:after="0" w:line="240" w:lineRule="auto"/>
              <w:jc w:val="left"/>
            </w:pPr>
            <w:r>
              <w:t>C-005 · Modelar los flujos principales de profesor y estudiante.</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10243A"/>
                <w:sz w:val="18"/>
                <w:lang w:val="es-CL"/>
              </w:rPr>
              <w:t>Benjamin Pérez</w:t>
            </w:r>
          </w:p>
        </w:tc>
        <w:tc>
          <w:tcPr>
            <w:tcW w:type="dxa" w:w="136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val="0"/>
                <w:i w:val="0"/>
                <w:color w:val="222222"/>
                <w:sz w:val="18"/>
                <w:lang w:val="es-CL"/>
              </w:rPr>
              <w:t>18-08-2026</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C-006 · Identificar eventos mínimos, riesgos de privacidad y límites de inferencia.</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Abraham Retamal</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18-08-2026</w:t>
            </w:r>
          </w:p>
        </w:tc>
      </w:tr>
    </w:tbl>
    <w:p>
      <w:pPr>
        <w:pStyle w:val="AlunzaSection"/>
        <w:keepNext/>
        <w:spacing w:before="120" w:after="60"/>
      </w:pPr>
      <w:r>
        <w:rPr>
          <w:rFonts w:ascii="Calibri" w:hAnsi="Calibri" w:eastAsia="Calibri"/>
          <w:b/>
          <w:color w:val="0D7C78"/>
          <w:sz w:val="24"/>
          <w:lang w:val="es-CL"/>
        </w:rPr>
        <w:t xml:space="preserve">7. </w:t>
      </w:r>
      <w:r>
        <w:rPr>
          <w:rFonts w:ascii="Calibri" w:hAnsi="Calibri" w:eastAsia="Calibri"/>
          <w:b/>
          <w:color w:val="10243A"/>
          <w:sz w:val="24"/>
          <w:lang w:val="es-CL"/>
        </w:rPr>
        <w:t>Riesgos y bloqueos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Confundir evidencia cualitativa inicial con validación suficiente de efectividad o disposición a pagar.</w:t>
      </w:r>
    </w:p>
    <w:p>
      <w:pPr>
        <w:widowControl/>
        <w:spacing w:before="0" w:after="36" w:line="245" w:lineRule="auto"/>
        <w:ind w:left="312" w:hanging="170"/>
      </w:pPr>
      <w:r>
        <w:rPr>
          <w:rFonts w:ascii="Arial" w:hAnsi="Arial"/>
          <w:b/>
          <w:color w:val="008A8A"/>
        </w:rPr>
        <w:t xml:space="preserve">•  </w:t>
      </w:r>
      <w:r>
        <w:rPr>
          <w:rFonts w:ascii="Arial" w:hAnsi="Arial"/>
          <w:b w:val="0"/>
          <w:color w:val="212529"/>
        </w:rPr>
        <w:t>Incorporar funciones administrativas amplias que desvíen el proyecto hacia un LMS completo.</w:t>
      </w:r>
    </w:p>
    <w:p>
      <w:pPr>
        <w:pStyle w:val="AlunzaSection"/>
        <w:keepNext/>
        <w:spacing w:before="120" w:after="60"/>
      </w:pPr>
      <w:r>
        <w:rPr>
          <w:rFonts w:ascii="Calibri" w:hAnsi="Calibri" w:eastAsia="Calibri"/>
          <w:b/>
          <w:color w:val="0D7C78"/>
          <w:sz w:val="24"/>
          <w:lang w:val="es-CL"/>
        </w:rPr>
        <w:t xml:space="preserve">8. </w:t>
      </w:r>
      <w:r>
        <w:rPr>
          <w:rFonts w:ascii="Calibri" w:hAnsi="Calibri" w:eastAsia="Calibri"/>
          <w:b/>
          <w:color w:val="10243A"/>
          <w:sz w:val="24"/>
          <w:lang w:val="es-CL"/>
        </w:rPr>
        <w:t>Próxima sesión</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Próxima fecha</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18 de agosto de 2026 · 18:30</w:t>
            </w:r>
          </w:p>
        </w:tc>
      </w:tr>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Objetivo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Consolidar la definición del producto, el objetivo general y los principios de uso responsable de IA.</w:t>
            </w:r>
          </w:p>
        </w:tc>
      </w:tr>
    </w:tbl>
    <w:p>
      <w:pPr>
        <w:widowControl/>
        <w:spacing w:before="120" w:after="80" w:line="240" w:lineRule="auto"/>
      </w:pPr>
    </w:p>
    <w:tbl>
      <w:tblPr>
        <w:tblW w:type="dxa" w:w="9576"/>
        <w:jc w:val="center"/>
        <w:tblLayout w:type="fixed"/>
        <w:tblLook w:firstColumn="1" w:firstRow="1" w:lastColumn="0" w:lastRow="0" w:noHBand="0" w:noVBand="1" w:val="04A0"/>
        <w:tblInd w:w="0" w:type="dxa"/>
        <w:tblBorders>
          <w:top w:val="single" w:sz="6" w:space="0" w:color="E4C44E"/>
          <w:left w:val="single" w:sz="6" w:space="0" w:color="E4C44E"/>
          <w:bottom w:val="single" w:sz="6" w:space="0" w:color="E4C44E"/>
          <w:right w:val="single" w:sz="6" w:space="0" w:color="E4C44E"/>
          <w:insideH w:val="single" w:sz="0" w:space="0" w:color="E4C44E"/>
          <w:insideV w:val="single" w:sz="0" w:space="0" w:color="E4C44E"/>
        </w:tblBorders>
      </w:tblPr>
      <w:tblGrid>
        <w:gridCol w:w="9976"/>
      </w:tblGrid>
      <w:tr>
        <w:trPr>
          <w:cantSplit/>
        </w:trPr>
        <w:tc>
          <w:tcPr>
            <w:tcW w:type="dxa" w:w="9576"/>
            <w:shd w:fill="FFF5CC" w:val="clear"/>
            <w:tcMar>
              <w:top w:w="105" w:type="dxa"/>
              <w:start w:w="130" w:type="dxa"/>
              <w:bottom w:w="105" w:type="dxa"/>
              <w:end w:w="130" w:type="dxa"/>
            </w:tcMar>
          </w:tcPr>
          <w:p>
            <w:pPr>
              <w:keepLines/>
              <w:widowControl/>
              <w:spacing w:before="0" w:after="0" w:line="240" w:lineRule="auto"/>
            </w:pPr>
            <w:r>
              <w:rPr>
                <w:rFonts w:ascii="Calibri" w:hAnsi="Calibri" w:eastAsia="Calibri"/>
                <w:b/>
                <w:color w:val="10243A"/>
                <w:sz w:val="18"/>
                <w:lang w:val="es-CL"/>
              </w:rPr>
              <w:t>Observación: los acuerdos y estados fueron revisados internamente por el equipo Alunza. Los cierres corresponden a definición o documentación y no implican software implementado.</w:t>
            </w:r>
            <w:r>
              <w:rPr>
                <w:rFonts w:ascii="Calibri" w:hAnsi="Calibri" w:eastAsia="Calibri"/>
                <w:color w:val="555B63"/>
                <w:sz w:val="18"/>
                <w:lang w:val="es-CL"/>
              </w:rPr>
            </w:r>
          </w:p>
        </w:tc>
      </w:tr>
    </w:tbl>
    <w:sectPr>
      <w:headerReference w:type="default" r:id="rId9"/>
      <w:footerReference w:type="default" r:id="rId10"/>
      <w:pgSz w:w="11906" w:h="16838"/>
      <w:pgMar w:top="965" w:right="965" w:bottom="965" w:left="9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eastAsia="Calibri"/>
        <w:color w:val="7A818A"/>
        <w:sz w:val="17"/>
        <w:lang w:val="es-CL"/>
      </w:rPr>
      <w:t xml:space="preserve">Alunza · CAPSTONE 2026-2 · Página </w:t>
    </w:r>
    <w:r>
      <w:rPr>
        <w:rFonts w:ascii="Calibri" w:hAnsi="Calibri"/>
        <w:color w:val="7A818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40" w:line="240" w:lineRule="auto"/>
      <w:jc w:val="left"/>
      <w:pBdr>
        <w:bottom w:val="single" w:sz="4" w:space="4" w:color="D9DEE5"/>
      </w:pBdr>
    </w:pPr>
    <w:r>
      <w:rPr>
        <w:rFonts w:ascii="Calibri" w:hAnsi="Calibri" w:eastAsia="Calibri"/>
        <w:b/>
        <w:color w:val="10243A"/>
        <w:sz w:val="16"/>
        <w:lang w:val="es-CL"/>
      </w:rPr>
      <w:t>ALUNZA  |  TUTOR UNIVERSITARIO INTELIGENTE PARA PROGRAMACIÓN I  |  CAPSTONE 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80" w:line="259" w:lineRule="auto"/>
    </w:pPr>
    <w:rPr>
      <w:rFonts w:ascii="Calibri" w:hAnsi="Calibri"/>
      <w:color w:val="222222"/>
      <w:sz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unzaTitle">
    <w:name w:val="Alunza Title"/>
    <w:basedOn w:val="Normal"/>
    <w:pPr>
      <w:keepNext/>
      <w:spacing w:before="0" w:after="20"/>
    </w:pPr>
    <w:rPr>
      <w:rFonts w:ascii="Calibri" w:hAnsi="Calibri"/>
      <w:b/>
      <w:color w:val="10243A"/>
      <w:sz w:val="46"/>
    </w:rPr>
  </w:style>
  <w:style w:type="paragraph" w:customStyle="1" w:styleId="AlunzaSubtitle">
    <w:name w:val="Alunza Subtitle"/>
    <w:basedOn w:val="Normal"/>
    <w:pPr>
      <w:keepNext/>
      <w:spacing w:after="140"/>
    </w:pPr>
    <w:rPr>
      <w:rFonts w:ascii="Calibri" w:hAnsi="Calibri"/>
      <w:b/>
      <w:color w:val="183B56"/>
      <w:sz w:val="25"/>
    </w:rPr>
  </w:style>
  <w:style w:type="paragraph" w:customStyle="1" w:styleId="AlunzaSection">
    <w:name w:val="Alunza Section"/>
    <w:basedOn w:val="Normal"/>
    <w:pPr>
      <w:keepNext/>
      <w:widowControl/>
      <w:spacing w:before="140" w:after="80"/>
    </w:pPr>
    <w:rPr>
      <w:rFonts w:ascii="Calibri" w:hAnsi="Calibri"/>
      <w:b/>
      <w:color w:val="10243A"/>
      <w:sz w:val="24"/>
    </w:rPr>
  </w:style>
  <w:style w:type="paragraph" w:customStyle="1" w:styleId="AlunzaSmall">
    <w:name w:val="Alunza Small"/>
    <w:basedOn w:val="Normal"/>
    <w:pPr>
      <w:spacing w:after="40"/>
    </w:pPr>
    <w:rPr>
      <w:rFonts w:ascii="Calibri" w:hAnsi="Calibri"/>
      <w:color w:val="555B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Duoc UC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ALZ-MIN-002 - Problema, usuarios y propuesta de valor inicial</dc:title>
  <dc:subject>Proyecto Alunza - CAPSTONE 2026-2 - Fase 1</dc:subject>
  <dc:creator/>
  <cp:keywords>Alunza, CAPSTONE, Fase 1, ALZ-MIN-002, S0, versión 1.1</cp:keywords>
  <dc:description>Registro interno de definición y planificación; no acredita implementación ni aprobación docente.</dc:description>
  <cp:lastModifiedBy/>
  <cp:revision>2</cp:revision>
  <dcterms:created xsi:type="dcterms:W3CDTF">2026-08-13T18:30:00Z</dcterms:created>
  <dcterms:modified xsi:type="dcterms:W3CDTF">2026-09-03T12:00:00Z</dcterms:modified>
  <cp:category/>
</cp:coreProperties>
</file>