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60" w:line="240" w:lineRule="auto"/>
      </w:pPr>
      <w:r>
        <w:rPr>
          <w:rFonts w:ascii="Calibri" w:hAnsi="Calibri" w:eastAsia="Calibri"/>
          <w:b/>
          <w:color w:val="0D7C78"/>
          <w:sz w:val="17"/>
          <w:lang w:val="es-CL"/>
        </w:rPr>
        <w:t>REGISTRO DE REUNIÓN</w:t>
      </w:r>
    </w:p>
    <w:p>
      <w:pPr>
        <w:pStyle w:val="AlunzaTitle"/>
      </w:pPr>
      <w:r>
        <w:t>Minuta de reunión</w:t>
      </w:r>
    </w:p>
    <w:p>
      <w:pPr>
        <w:pStyle w:val="AlunzaSubtitle"/>
      </w:pPr>
      <w:r>
        <w:t>Ajuste del MVP a un plazo de 18 semanas</w:t>
      </w:r>
    </w:p>
    <w:p>
      <w:pPr>
        <w:keepNext/>
        <w:widowControl/>
        <w:spacing w:before="0" w:after="140" w:line="240" w:lineRule="auto"/>
        <w:pBdr>
          <w:bottom w:val="single" w:sz="16" w:space="4" w:color="F2B600"/>
        </w:pBdr>
      </w:pPr>
      <w:r>
        <w:rPr>
          <w:rFonts w:ascii="Calibri" w:hAnsi="Calibri" w:eastAsia="Calibri"/>
          <w:b/>
          <w:color w:val="555B63"/>
          <w:sz w:val="18"/>
          <w:lang w:val="es-CL"/>
        </w:rPr>
        <w:t>ALZ-MIN-004   ·   SEMANA 2   ·   SESIÓN B  ·  S0  ·  v1.1</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Proyecto</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Alunza — Tutor Universitario Inteligente para Programación I</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Código</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ALZ-MIN-004</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Semana / sesión</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Semana 2 · Sesión B</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Fecha y hora</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20 de agosto de 2026 · 18:30 a 19:15</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Modalidad</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Duoc UC, sede Puente Alto · reunión interna presencial</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Tipo de reunión</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Priorización de alcance y riesgos</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Sprint / iteración</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S0 - Alineación y descubrimiento (semanas 1-2)</w:t>
            </w:r>
            <w:r>
              <w:rPr>
                <w:rFonts w:ascii="Arial" w:hAnsi="Arial" w:eastAsia="Calibri"/>
                <w:b w:val="0"/>
                <w:i w:val="0"/>
                <w:color w:val="212529"/>
                <w:sz w:val="18"/>
                <w:lang w:val="es-CL"/>
              </w:rPr>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Versión</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1.1</w:t>
            </w:r>
            <w:r>
              <w:rPr>
                <w:rFonts w:ascii="Arial" w:hAnsi="Arial" w:eastAsia="Calibri"/>
                <w:b w:val="0"/>
                <w:i w:val="0"/>
                <w:color w:val="212529"/>
                <w:sz w:val="18"/>
                <w:lang w:val="es-CL"/>
              </w:rPr>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Seguimiento</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C-007 a C-009: cerrados en diseño; objetivos, requisitos iniciales y esquema de diagnóstico revisados.</w:t>
            </w:r>
            <w:r>
              <w:rPr>
                <w:rFonts w:ascii="Arial" w:hAnsi="Arial" w:eastAsia="Calibri"/>
                <w:b w:val="0"/>
                <w:i w:val="0"/>
                <w:color w:val="212529"/>
                <w:sz w:val="18"/>
                <w:lang w:val="es-CL"/>
              </w:rPr>
            </w:r>
          </w:p>
        </w:tc>
      </w:tr>
    </w:tbl>
    <w:p>
      <w:pPr>
        <w:pStyle w:val="AlunzaSection"/>
        <w:keepNext/>
        <w:spacing w:before="120" w:after="60"/>
      </w:pPr>
      <w:r>
        <w:rPr>
          <w:rFonts w:ascii="Calibri" w:hAnsi="Calibri" w:eastAsia="Calibri"/>
          <w:b/>
          <w:color w:val="0D7C78"/>
          <w:sz w:val="24"/>
          <w:lang w:val="es-CL"/>
        </w:rPr>
        <w:t xml:space="preserve">1. </w:t>
      </w:r>
      <w:r>
        <w:rPr>
          <w:rFonts w:ascii="Calibri" w:hAnsi="Calibri" w:eastAsia="Calibri"/>
          <w:b/>
          <w:color w:val="10243A"/>
          <w:sz w:val="24"/>
          <w:lang w:val="es-CL"/>
        </w:rPr>
        <w:t>Objetivo de la reunión</w:t>
      </w:r>
    </w:p>
    <w:p>
      <w:pPr>
        <w:keepLines w:val="0"/>
        <w:widowControl/>
        <w:spacing w:before="0" w:after="80" w:line="259" w:lineRule="auto"/>
        <w:jc w:val="left"/>
      </w:pPr>
      <w:r>
        <w:rPr>
          <w:rFonts w:ascii="Calibri" w:hAnsi="Calibri" w:eastAsia="Calibri"/>
          <w:i w:val="0"/>
          <w:color w:val="222222"/>
          <w:sz w:val="20"/>
          <w:lang w:val="es-CL"/>
        </w:rPr>
        <w:t>Reducir la propuesta a una vertical completa que pueda diseñarse, implementarse, probarse y demostrarse por un equipo de tres integrantes dentro de 18 semanas.</w:t>
      </w:r>
    </w:p>
    <w:p>
      <w:pPr>
        <w:pStyle w:val="AlunzaSection"/>
        <w:keepNext/>
        <w:spacing w:before="120" w:after="60"/>
      </w:pPr>
      <w:r>
        <w:rPr>
          <w:rFonts w:ascii="Calibri" w:hAnsi="Calibri" w:eastAsia="Calibri"/>
          <w:b/>
          <w:color w:val="0D7C78"/>
          <w:sz w:val="24"/>
          <w:lang w:val="es-CL"/>
        </w:rPr>
        <w:t xml:space="preserve">2. </w:t>
      </w:r>
      <w:r>
        <w:rPr>
          <w:rFonts w:ascii="Calibri" w:hAnsi="Calibri" w:eastAsia="Calibri"/>
          <w:b/>
          <w:color w:val="10243A"/>
          <w:sz w:val="24"/>
          <w:lang w:val="es-CL"/>
        </w:rPr>
        <w:t>Participantes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3325"/>
        <w:gridCol w:w="3325"/>
        <w:gridCol w:w="3325"/>
      </w:tblGrid>
      <w:tr>
        <w:trPr>
          <w:cantSplit/>
          <w:tblHeader/>
        </w:trPr>
        <w:tc>
          <w:tcPr>
            <w:tcW w:type="dxa" w:w="2952"/>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Participante</w:t>
            </w:r>
          </w:p>
        </w:tc>
        <w:tc>
          <w:tcPr>
            <w:tcW w:type="dxa" w:w="532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Foco principal en la sesión</w:t>
            </w:r>
          </w:p>
        </w:tc>
        <w:tc>
          <w:tcPr>
            <w:tcW w:type="dxa" w:w="1296"/>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Asistencia</w:t>
            </w:r>
          </w:p>
        </w:tc>
      </w:tr>
      <w:tr>
        <w:trPr>
          <w:cantSplit/>
        </w:trPr>
        <w:tc>
          <w:tcPr>
            <w:tcW w:type="dxa" w:w="295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222222"/>
                <w:sz w:val="18"/>
                <w:lang w:val="es-CL"/>
              </w:rPr>
              <w:t>Benjamin Pérez</w:t>
            </w:r>
          </w:p>
        </w:tc>
        <w:tc>
          <w:tcPr>
            <w:tcW w:type="dxa" w:w="5328"/>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UX/UI, frontend y documentación</w:t>
            </w:r>
          </w:p>
        </w:tc>
        <w:tc>
          <w:tcPr>
            <w:tcW w:type="dxa" w:w="1296"/>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0D7C78"/>
                <w:sz w:val="18"/>
                <w:lang w:val="es-CL"/>
              </w:rPr>
              <w:t>Presente</w:t>
            </w:r>
          </w:p>
        </w:tc>
      </w:tr>
      <w:tr>
        <w:trPr>
          <w:cantSplit/>
        </w:trPr>
        <w:tc>
          <w:tcPr>
            <w:tcW w:type="dxa" w:w="295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222222"/>
                <w:sz w:val="18"/>
                <w:lang w:val="es-CL"/>
              </w:rPr>
              <w:t>Abraham Retamal</w:t>
            </w:r>
          </w:p>
        </w:tc>
        <w:tc>
          <w:tcPr>
            <w:tcW w:type="dxa" w:w="5328"/>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Datos, IA/RAG y calidad</w:t>
            </w:r>
          </w:p>
        </w:tc>
        <w:tc>
          <w:tcPr>
            <w:tcW w:type="dxa" w:w="1296"/>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i w:val="0"/>
                <w:color w:val="0D7C78"/>
                <w:sz w:val="18"/>
                <w:lang w:val="es-CL"/>
              </w:rPr>
              <w:t>Presente</w:t>
            </w:r>
          </w:p>
        </w:tc>
      </w:tr>
      <w:tr>
        <w:trPr>
          <w:cantSplit/>
        </w:trPr>
        <w:tc>
          <w:tcPr>
            <w:tcW w:type="dxa" w:w="295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222222"/>
                <w:sz w:val="18"/>
                <w:lang w:val="es-CL"/>
              </w:rPr>
              <w:t>Marcelo Núñez</w:t>
            </w:r>
          </w:p>
        </w:tc>
        <w:tc>
          <w:tcPr>
            <w:tcW w:type="dxa" w:w="5328"/>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Product Owner, backend e integración</w:t>
            </w:r>
          </w:p>
        </w:tc>
        <w:tc>
          <w:tcPr>
            <w:tcW w:type="dxa" w:w="1296"/>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0D7C78"/>
                <w:sz w:val="18"/>
                <w:lang w:val="es-CL"/>
              </w:rPr>
              <w:t>Presente</w:t>
            </w:r>
          </w:p>
        </w:tc>
      </w:tr>
    </w:tbl>
    <w:p>
      <w:pPr>
        <w:pStyle w:val="AlunzaSection"/>
        <w:keepNext/>
        <w:spacing w:before="120" w:after="60"/>
      </w:pPr>
      <w:r>
        <w:rPr>
          <w:rFonts w:ascii="Calibri" w:hAnsi="Calibri" w:eastAsia="Calibri"/>
          <w:b/>
          <w:color w:val="0D7C78"/>
          <w:sz w:val="24"/>
          <w:lang w:val="es-CL"/>
        </w:rPr>
        <w:t xml:space="preserve">3. </w:t>
      </w:r>
      <w:r>
        <w:rPr>
          <w:rFonts w:ascii="Calibri" w:hAnsi="Calibri" w:eastAsia="Calibri"/>
          <w:b/>
          <w:color w:val="10243A"/>
          <w:sz w:val="24"/>
          <w:lang w:val="es-CL"/>
        </w:rPr>
        <w:t>Temas tratados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Flujo dorado: actividad, código, test cases, diagnóstico, RAG, feedback y evidencia docente.</w:t>
      </w:r>
    </w:p>
    <w:p>
      <w:pPr>
        <w:widowControl/>
        <w:spacing w:before="0" w:after="36" w:line="245" w:lineRule="auto"/>
        <w:ind w:left="312" w:hanging="170"/>
      </w:pPr>
      <w:r>
        <w:rPr>
          <w:rFonts w:ascii="Arial" w:hAnsi="Arial"/>
          <w:b/>
          <w:color w:val="008A8A"/>
        </w:rPr>
        <w:t xml:space="preserve">•  </w:t>
      </w:r>
      <w:r>
        <w:rPr>
          <w:rFonts w:ascii="Arial" w:hAnsi="Arial"/>
          <w:b w:val="0"/>
          <w:color w:val="212529"/>
        </w:rPr>
        <w:t>Clasificación Must, Should, Could y Won't del MVP.</w:t>
      </w:r>
    </w:p>
    <w:p>
      <w:pPr>
        <w:widowControl/>
        <w:spacing w:before="0" w:after="36" w:line="245" w:lineRule="auto"/>
        <w:ind w:left="312" w:hanging="170"/>
      </w:pPr>
      <w:r>
        <w:rPr>
          <w:rFonts w:ascii="Arial" w:hAnsi="Arial"/>
          <w:b/>
          <w:color w:val="008A8A"/>
        </w:rPr>
        <w:t xml:space="preserve">•  </w:t>
      </w:r>
      <w:r>
        <w:rPr>
          <w:rFonts w:ascii="Arial" w:hAnsi="Arial"/>
          <w:b w:val="0"/>
          <w:color w:val="212529"/>
        </w:rPr>
        <w:t>Metas de demostración: 8 a 12 ejercicios, 4 a 6 conceptos y 1 a 3 documentos.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Funciones fuera de alcance y criterios para postergar componentes opcionales.</w:t>
      </w:r>
    </w:p>
    <w:p>
      <w:pPr>
        <w:pStyle w:val="AlunzaSection"/>
        <w:keepNext/>
        <w:spacing w:before="120" w:after="60"/>
      </w:pPr>
      <w:r>
        <w:rPr>
          <w:rFonts w:ascii="Calibri" w:hAnsi="Calibri" w:eastAsia="Calibri"/>
          <w:b/>
          <w:color w:val="0D7C78"/>
          <w:sz w:val="24"/>
          <w:lang w:val="es-CL"/>
        </w:rPr>
        <w:t xml:space="preserve">4. </w:t>
      </w:r>
      <w:r>
        <w:rPr>
          <w:rFonts w:ascii="Calibri" w:hAnsi="Calibri" w:eastAsia="Calibri"/>
          <w:b/>
          <w:color w:val="10243A"/>
          <w:sz w:val="24"/>
          <w:lang w:val="es-CL"/>
        </w:rPr>
        <w:t>Síntesis de la sesión</w:t>
      </w:r>
    </w:p>
    <w:p>
      <w:pPr>
        <w:keepLines w:val="0"/>
        <w:widowControl/>
        <w:spacing w:before="0" w:after="0" w:line="259" w:lineRule="auto"/>
        <w:jc w:val="left"/>
      </w:pPr>
      <w:r>
        <w:rPr>
          <w:rFonts w:ascii="Calibri" w:hAnsi="Calibri" w:eastAsia="Calibri"/>
          <w:i w:val="0"/>
          <w:color w:val="222222"/>
          <w:sz w:val="20"/>
          <w:lang w:val="es-CL"/>
        </w:rPr>
        <w:t>Se concluyó que el éxito del proyecto no se medirá por la cantidad de pantallas o llamadas a IA, sino por una vertical estable y verificable. El administrador institucional mínimo conservará únicamente la configuración de organización, cursos y cuentas; las funciones administrativas avanzadas quedan fuera. El flujo obligatorio será que un profesor publique una actividad, un estudiante resuelva código JavaScript corto, el sistema ejecute test cases, registre el intento, entregue feedback con material autorizado y permita al profesor revisar evidencia y señales. El RAG mínimo se conservará como parte diferenciadora, mientras que el asistente conversacional avanzado quedará como extensión. Se excluyeron pagos, SSO, aplicación móvil nativa, detector de plagio o uso externo de IA, reportería institucional avanzada y calificación automática de alto impacto.</w:t>
      </w:r>
    </w:p>
    <w:p>
      <w:r>
        <w:br w:type="page"/>
      </w:r>
    </w:p>
    <w:p>
      <w:pPr>
        <w:pStyle w:val="AlunzaSection"/>
        <w:keepNext/>
        <w:spacing w:before="120" w:after="60"/>
      </w:pPr>
      <w:r>
        <w:rPr>
          <w:rFonts w:ascii="Calibri" w:hAnsi="Calibri" w:eastAsia="Calibri"/>
          <w:b/>
          <w:color w:val="0D7C78"/>
          <w:sz w:val="24"/>
          <w:lang w:val="es-CL"/>
        </w:rPr>
        <w:t xml:space="preserve">5. </w:t>
      </w:r>
      <w:r>
        <w:rPr>
          <w:rFonts w:ascii="Calibri" w:hAnsi="Calibri" w:eastAsia="Calibri"/>
          <w:b/>
          <w:color w:val="10243A"/>
          <w:sz w:val="24"/>
          <w:lang w:val="es-CL"/>
        </w:rPr>
        <w:t>Acuerdos adoptados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blHeader/>
        </w:trPr>
        <w:tc>
          <w:tcPr>
            <w:tcW w:type="dxa" w:w="2232"/>
            <w:vAlign w:val="center"/>
            <w:tcMar>
              <w:top w:w="80" w:type="dxa"/>
              <w:start w:w="95" w:type="dxa"/>
              <w:bottom w:w="80" w:type="dxa"/>
              <w:end w:w="95" w:type="dxa"/>
            </w:tcMar>
            <w:shd w:fill="10243A" w:val="clear"/>
          </w:tcPr>
          <w:p>
            <w:pPr>
              <w:keepLines/>
              <w:widowControl/>
              <w:spacing w:before="0" w:after="0" w:line="240" w:lineRule="auto"/>
              <w:jc w:val="left"/>
            </w:pPr>
            <w:r/>
            <w:r>
              <w:rPr>
                <w:rFonts w:ascii="Calibri" w:hAnsi="Calibri" w:eastAsia="Calibri"/>
                <w:b/>
                <w:i w:val="0"/>
                <w:color w:val="FFFFFF"/>
                <w:sz w:val="18"/>
                <w:lang w:val="es-CL"/>
              </w:rPr>
              <w:t>Tema</w:t>
            </w:r>
          </w:p>
        </w:tc>
        <w:tc>
          <w:tcPr>
            <w:tcW w:type="dxa" w:w="7344"/>
            <w:vAlign w:val="center"/>
            <w:tcMar>
              <w:top w:w="80" w:type="dxa"/>
              <w:start w:w="95" w:type="dxa"/>
              <w:bottom w:w="80" w:type="dxa"/>
              <w:end w:w="95" w:type="dxa"/>
            </w:tcMar>
            <w:shd w:fill="10243A" w:val="clear"/>
          </w:tcPr>
          <w:p>
            <w:pPr>
              <w:keepLines/>
              <w:widowControl/>
              <w:spacing w:before="0" w:after="0" w:line="240" w:lineRule="auto"/>
              <w:jc w:val="left"/>
            </w:pPr>
            <w:r/>
            <w:r>
              <w:rPr>
                <w:rFonts w:ascii="Calibri" w:hAnsi="Calibri" w:eastAsia="Calibri"/>
                <w:b/>
                <w:i w:val="0"/>
                <w:color w:val="FFFFFF"/>
                <w:sz w:val="18"/>
                <w:lang w:val="es-CL"/>
              </w:rPr>
              <w:t>Acuerdo adoptado</w:t>
            </w:r>
          </w:p>
        </w:tc>
      </w:tr>
      <w:tr>
        <w:trPr>
          <w:cantSplit/>
        </w:trPr>
        <w:tc>
          <w:tcPr>
            <w:tcW w:type="dxa" w:w="223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Unidad de éxito</w:t>
            </w:r>
          </w:p>
        </w:tc>
        <w:tc>
          <w:tcPr>
            <w:tcW w:type="dxa" w:w="73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Priorizar una vertical completa y demostrable por encima de múltiples funciones incompletas.</w:t>
            </w:r>
          </w:p>
        </w:tc>
      </w:tr>
      <w:tr>
        <w:trPr>
          <w:cantSplit/>
        </w:trPr>
        <w:tc>
          <w:tcPr>
            <w:tcW w:type="dxa" w:w="22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10243A"/>
                <w:sz w:val="18"/>
                <w:lang w:val="es-CL"/>
              </w:rPr>
              <w:t>RAG</w:t>
            </w:r>
          </w:p>
        </w:tc>
        <w:tc>
          <w:tcPr>
            <w:tcW w:type="dxa" w:w="7344"/>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Mantener un RAG mínimo obligatorio, filtrado por clase y con fuente visible; las mejoras avanzadas serán opcionales.</w:t>
            </w:r>
          </w:p>
        </w:tc>
      </w:tr>
      <w:tr>
        <w:trPr>
          <w:cantSplit/>
        </w:trPr>
        <w:tc>
          <w:tcPr>
            <w:tcW w:type="dxa" w:w="223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Exclusiones</w:t>
            </w:r>
          </w:p>
        </w:tc>
        <w:tc>
          <w:tcPr>
            <w:tcW w:type="dxa" w:w="7344"/>
            <w:vAlign w:val="center"/>
            <w:tcMar>
              <w:top w:w="80" w:type="dxa"/>
              <w:start w:w="95" w:type="dxa"/>
              <w:bottom w:w="80" w:type="dxa"/>
              <w:end w:w="95" w:type="dxa"/>
            </w:tcMar>
            <w:shd w:fill="F4F6F8" w:val="clear"/>
          </w:tcPr>
          <w:p>
            <w:pPr>
              <w:keepLines/>
              <w:widowControl/>
              <w:spacing w:before="0" w:after="0" w:line="240" w:lineRule="auto"/>
              <w:jc w:val="left"/>
            </w:pPr>
            <w:r>
              <w:t>Dejar fuera LMS completo, administración institucional avanzada, integraciones externas, pagos, detección de plagio y decisiones académicas automáticas.</w:t>
            </w:r>
            <w:r>
              <w:rPr>
                <w:rFonts w:ascii="Calibri" w:hAnsi="Calibri" w:eastAsia="Calibri"/>
                <w:b w:val="0"/>
                <w:i w:val="0"/>
                <w:color w:val="222222"/>
                <w:sz w:val="18"/>
                <w:lang w:val="es-CL"/>
              </w:rPr>
            </w:r>
          </w:p>
        </w:tc>
      </w:tr>
    </w:tbl>
    <w:p>
      <w:pPr>
        <w:pStyle w:val="AlunzaSection"/>
        <w:keepNext/>
        <w:spacing w:before="120" w:after="60"/>
      </w:pPr>
      <w:r>
        <w:rPr>
          <w:rFonts w:ascii="Calibri" w:hAnsi="Calibri" w:eastAsia="Calibri"/>
          <w:b/>
          <w:color w:val="0D7C78"/>
          <w:sz w:val="24"/>
          <w:lang w:val="es-CL"/>
        </w:rPr>
        <w:t xml:space="preserve">6. </w:t>
      </w:r>
      <w:r>
        <w:rPr>
          <w:rFonts w:ascii="Calibri" w:hAnsi="Calibri" w:eastAsia="Calibri"/>
          <w:b/>
          <w:color w:val="10243A"/>
          <w:sz w:val="24"/>
          <w:lang w:val="es-CL"/>
        </w:rPr>
        <w:t>Compromisos y responsables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3325"/>
        <w:gridCol w:w="3325"/>
        <w:gridCol w:w="3325"/>
      </w:tblGrid>
      <w:tr>
        <w:trPr>
          <w:cantSplit/>
          <w:tblHeader/>
        </w:trPr>
        <w:tc>
          <w:tcPr>
            <w:tcW w:type="dxa" w:w="6120"/>
            <w:vAlign w:val="center"/>
            <w:tcMar>
              <w:top w:w="80" w:type="dxa"/>
              <w:start w:w="95" w:type="dxa"/>
              <w:bottom w:w="80" w:type="dxa"/>
              <w:end w:w="95" w:type="dxa"/>
            </w:tcMar>
            <w:shd w:fill="10243A" w:val="clear"/>
          </w:tcPr>
          <w:p>
            <w:pPr>
              <w:keepLines/>
              <w:widowControl/>
              <w:spacing w:before="0" w:after="0" w:line="240" w:lineRule="auto"/>
              <w:jc w:val="left"/>
            </w:pPr>
            <w:r>
              <w:rPr>
                <w:rFonts w:ascii="Arial" w:hAnsi="Arial"/>
                <w:b/>
                <w:color w:val="FFFFFF"/>
              </w:rPr>
              <w:t>ID y actividad comprometida</w:t>
            </w:r>
            <w:r>
              <w:rPr>
                <w:rFonts w:ascii="Arial" w:hAnsi="Arial" w:eastAsia="Calibri"/>
                <w:b/>
                <w:i w:val="0"/>
                <w:color w:val="FFFFFF"/>
                <w:sz w:val="18"/>
                <w:lang w:val="es-CL"/>
              </w:rPr>
            </w:r>
          </w:p>
        </w:tc>
        <w:tc>
          <w:tcPr>
            <w:tcW w:type="dxa" w:w="208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Responsable</w:t>
            </w:r>
          </w:p>
        </w:tc>
        <w:tc>
          <w:tcPr>
            <w:tcW w:type="dxa" w:w="136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Fecha</w:t>
            </w:r>
          </w:p>
        </w:tc>
      </w:tr>
      <w:tr>
        <w:trPr>
          <w:cantSplit/>
        </w:trPr>
        <w:tc>
          <w:tcPr>
            <w:tcW w:type="dxa" w:w="6120"/>
            <w:vAlign w:val="center"/>
            <w:tcMar>
              <w:top w:w="80" w:type="dxa"/>
              <w:start w:w="95" w:type="dxa"/>
              <w:bottom w:w="80" w:type="dxa"/>
              <w:end w:w="95" w:type="dxa"/>
            </w:tcMar>
            <w:shd w:fill="F4F6F8" w:val="clear"/>
          </w:tcPr>
          <w:p>
            <w:pPr>
              <w:keepLines/>
              <w:widowControl/>
              <w:spacing w:before="0" w:after="0" w:line="240" w:lineRule="auto"/>
              <w:jc w:val="left"/>
            </w:pPr>
            <w:r>
              <w:t>C-010 · Reescribir alcance, contenido de demo y criterios de éxito.</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10243A"/>
                <w:sz w:val="18"/>
                <w:lang w:val="es-CL"/>
              </w:rPr>
              <w:t>Marcelo Núñez</w:t>
            </w:r>
          </w:p>
        </w:tc>
        <w:tc>
          <w:tcPr>
            <w:tcW w:type="dxa" w:w="136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val="0"/>
                <w:i w:val="0"/>
                <w:color w:val="222222"/>
                <w:sz w:val="18"/>
                <w:lang w:val="es-CL"/>
              </w:rPr>
              <w:t>25-08-2026</w:t>
            </w:r>
          </w:p>
        </w:tc>
      </w:tr>
      <w:tr>
        <w:trPr>
          <w:cantSplit/>
        </w:trPr>
        <w:tc>
          <w:tcPr>
            <w:tcW w:type="dxa" w:w="6120"/>
            <w:vAlign w:val="center"/>
            <w:tcMar>
              <w:top w:w="80" w:type="dxa"/>
              <w:start w:w="95" w:type="dxa"/>
              <w:bottom w:w="80" w:type="dxa"/>
              <w:end w:w="95" w:type="dxa"/>
            </w:tcMar>
          </w:tcPr>
          <w:p>
            <w:pPr>
              <w:keepLines/>
              <w:widowControl/>
              <w:spacing w:before="0" w:after="0" w:line="240" w:lineRule="auto"/>
              <w:jc w:val="left"/>
            </w:pPr>
            <w:r>
              <w:t>C-011 · Priorizar casos de uso e historias de la ruta crítica.</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i w:val="0"/>
                <w:color w:val="10243A"/>
                <w:sz w:val="18"/>
                <w:lang w:val="es-CL"/>
              </w:rPr>
              <w:t>Benjamin Pérez</w:t>
            </w:r>
          </w:p>
        </w:tc>
        <w:tc>
          <w:tcPr>
            <w:tcW w:type="dxa" w:w="1368"/>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val="0"/>
                <w:i w:val="0"/>
                <w:color w:val="222222"/>
                <w:sz w:val="18"/>
                <w:lang w:val="es-CL"/>
              </w:rPr>
              <w:t>25-08-2026</w:t>
            </w:r>
          </w:p>
        </w:tc>
      </w:tr>
      <w:tr>
        <w:trPr>
          <w:cantSplit/>
        </w:trPr>
        <w:tc>
          <w:tcPr>
            <w:tcW w:type="dxa" w:w="6120"/>
            <w:vAlign w:val="center"/>
            <w:tcMar>
              <w:top w:w="80" w:type="dxa"/>
              <w:start w:w="95" w:type="dxa"/>
              <w:bottom w:w="80" w:type="dxa"/>
              <w:end w:w="95" w:type="dxa"/>
            </w:tcMar>
            <w:shd w:fill="F4F6F8" w:val="clear"/>
          </w:tcPr>
          <w:p>
            <w:pPr>
              <w:keepLines/>
              <w:widowControl/>
              <w:spacing w:before="0" w:after="0" w:line="240" w:lineRule="auto"/>
              <w:jc w:val="left"/>
            </w:pPr>
            <w:r>
              <w:t>C-012 · Diseñar el spike del RAG mínimo y sus criterios de calidad.</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10243A"/>
                <w:sz w:val="18"/>
                <w:lang w:val="es-CL"/>
              </w:rPr>
              <w:t>Abraham Retamal</w:t>
            </w:r>
          </w:p>
        </w:tc>
        <w:tc>
          <w:tcPr>
            <w:tcW w:type="dxa" w:w="136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val="0"/>
                <w:i w:val="0"/>
                <w:color w:val="222222"/>
                <w:sz w:val="18"/>
                <w:lang w:val="es-CL"/>
              </w:rPr>
              <w:t>25-08-2026</w:t>
            </w:r>
          </w:p>
        </w:tc>
      </w:tr>
    </w:tbl>
    <w:p>
      <w:pPr>
        <w:pStyle w:val="AlunzaSection"/>
        <w:keepNext/>
        <w:spacing w:before="120" w:after="60"/>
      </w:pPr>
      <w:r>
        <w:rPr>
          <w:rFonts w:ascii="Calibri" w:hAnsi="Calibri" w:eastAsia="Calibri"/>
          <w:b/>
          <w:color w:val="0D7C78"/>
          <w:sz w:val="24"/>
          <w:lang w:val="es-CL"/>
        </w:rPr>
        <w:t xml:space="preserve">7. </w:t>
      </w:r>
      <w:r>
        <w:rPr>
          <w:rFonts w:ascii="Calibri" w:hAnsi="Calibri" w:eastAsia="Calibri"/>
          <w:b/>
          <w:color w:val="10243A"/>
          <w:sz w:val="24"/>
          <w:lang w:val="es-CL"/>
        </w:rPr>
        <w:t>Riesgos y bloqueos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La ejecución segura de JavaScript y el aislamiento de recursos son riesgos técnicos críticos.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El pipeline RAG puede consumir tiempo si se amplían formatos, volumen o evaluación fuera del mínimo acordado.</w:t>
      </w:r>
    </w:p>
    <w:p>
      <w:pPr>
        <w:pStyle w:val="AlunzaSection"/>
        <w:keepNext/>
        <w:spacing w:before="120" w:after="60"/>
      </w:pPr>
      <w:r>
        <w:rPr>
          <w:rFonts w:ascii="Calibri" w:hAnsi="Calibri" w:eastAsia="Calibri"/>
          <w:b/>
          <w:color w:val="0D7C78"/>
          <w:sz w:val="24"/>
          <w:lang w:val="es-CL"/>
        </w:rPr>
        <w:t xml:space="preserve">8. </w:t>
      </w:r>
      <w:r>
        <w:rPr>
          <w:rFonts w:ascii="Calibri" w:hAnsi="Calibri" w:eastAsia="Calibri"/>
          <w:b/>
          <w:color w:val="10243A"/>
          <w:sz w:val="24"/>
          <w:lang w:val="es-CL"/>
        </w:rPr>
        <w:t>Próxima sesión</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rPr>
        <w:tc>
          <w:tcPr>
            <w:tcW w:type="dxa" w:w="1944"/>
            <w:vAlign w:val="center"/>
            <w:tcMar>
              <w:top w:w="80" w:type="dxa"/>
              <w:start w:w="95" w:type="dxa"/>
              <w:bottom w:w="80" w:type="dxa"/>
              <w:end w:w="95" w:type="dxa"/>
            </w:tcMar>
            <w:shd w:fill="E7F4F3" w:val="clear"/>
          </w:tcPr>
          <w:p>
            <w:pPr>
              <w:keepLines/>
              <w:widowControl/>
              <w:spacing w:before="0" w:after="0" w:line="240" w:lineRule="auto"/>
              <w:jc w:val="left"/>
            </w:pPr>
            <w:r/>
            <w:r>
              <w:rPr>
                <w:rFonts w:ascii="Calibri" w:hAnsi="Calibri" w:eastAsia="Calibri"/>
                <w:b/>
                <w:i w:val="0"/>
                <w:color w:val="10243A"/>
                <w:sz w:val="18"/>
                <w:lang w:val="es-CL"/>
              </w:rPr>
              <w:t>Próxima fecha</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222222"/>
                <w:sz w:val="18"/>
                <w:lang w:val="es-CL"/>
              </w:rPr>
              <w:t>25 de agosto de 2026 · 18:30</w:t>
            </w:r>
          </w:p>
        </w:tc>
      </w:tr>
      <w:tr>
        <w:trPr>
          <w:cantSplit/>
        </w:trPr>
        <w:tc>
          <w:tcPr>
            <w:tcW w:type="dxa" w:w="1944"/>
            <w:vAlign w:val="center"/>
            <w:tcMar>
              <w:top w:w="80" w:type="dxa"/>
              <w:start w:w="95" w:type="dxa"/>
              <w:bottom w:w="80" w:type="dxa"/>
              <w:end w:w="95" w:type="dxa"/>
            </w:tcMar>
            <w:shd w:fill="E7F4F3" w:val="clear"/>
          </w:tcPr>
          <w:p>
            <w:pPr>
              <w:keepLines/>
              <w:widowControl/>
              <w:spacing w:before="0" w:after="0" w:line="240" w:lineRule="auto"/>
              <w:jc w:val="left"/>
            </w:pPr>
            <w:r/>
            <w:r>
              <w:rPr>
                <w:rFonts w:ascii="Calibri" w:hAnsi="Calibri" w:eastAsia="Calibri"/>
                <w:b/>
                <w:i w:val="0"/>
                <w:color w:val="10243A"/>
                <w:sz w:val="18"/>
                <w:lang w:val="es-CL"/>
              </w:rPr>
              <w:t>Objetivo</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Convertir el alcance aprobado en actores, casos de uso, requisitos y prototipos trazables.</w:t>
            </w:r>
          </w:p>
        </w:tc>
      </w:tr>
    </w:tbl>
    <w:p>
      <w:pPr>
        <w:widowControl/>
        <w:spacing w:before="120" w:after="80" w:line="240" w:lineRule="auto"/>
      </w:pPr>
    </w:p>
    <w:tbl>
      <w:tblPr>
        <w:tblW w:type="dxa" w:w="9576"/>
        <w:jc w:val="center"/>
        <w:tblLayout w:type="fixed"/>
        <w:tblLook w:firstColumn="1" w:firstRow="1" w:lastColumn="0" w:lastRow="0" w:noHBand="0" w:noVBand="1" w:val="04A0"/>
        <w:tblInd w:w="0" w:type="dxa"/>
        <w:tblBorders>
          <w:top w:val="single" w:sz="6" w:space="0" w:color="E4C44E"/>
          <w:left w:val="single" w:sz="6" w:space="0" w:color="E4C44E"/>
          <w:bottom w:val="single" w:sz="6" w:space="0" w:color="E4C44E"/>
          <w:right w:val="single" w:sz="6" w:space="0" w:color="E4C44E"/>
          <w:insideH w:val="single" w:sz="0" w:space="0" w:color="E4C44E"/>
          <w:insideV w:val="single" w:sz="0" w:space="0" w:color="E4C44E"/>
        </w:tblBorders>
      </w:tblPr>
      <w:tblGrid>
        <w:gridCol w:w="9976"/>
      </w:tblGrid>
      <w:tr>
        <w:trPr>
          <w:cantSplit/>
        </w:trPr>
        <w:tc>
          <w:tcPr>
            <w:tcW w:type="dxa" w:w="9576"/>
            <w:shd w:fill="FFF5CC" w:val="clear"/>
            <w:tcMar>
              <w:top w:w="105" w:type="dxa"/>
              <w:start w:w="130" w:type="dxa"/>
              <w:bottom w:w="105" w:type="dxa"/>
              <w:end w:w="130" w:type="dxa"/>
            </w:tcMar>
          </w:tcPr>
          <w:p>
            <w:pPr>
              <w:keepLines/>
              <w:widowControl/>
              <w:spacing w:before="0" w:after="0" w:line="240" w:lineRule="auto"/>
            </w:pPr>
            <w:r>
              <w:rPr>
                <w:rFonts w:ascii="Calibri" w:hAnsi="Calibri" w:eastAsia="Calibri"/>
                <w:b/>
                <w:color w:val="10243A"/>
                <w:sz w:val="18"/>
                <w:lang w:val="es-CL"/>
              </w:rPr>
              <w:t>Observación: los acuerdos y estados fueron revisados internamente por el equipo Alunza. Los cierres corresponden a definición o documentación y no implican software implementado.</w:t>
            </w:r>
            <w:r>
              <w:rPr>
                <w:rFonts w:ascii="Calibri" w:hAnsi="Calibri" w:eastAsia="Calibri"/>
                <w:color w:val="555B63"/>
                <w:sz w:val="18"/>
                <w:lang w:val="es-CL"/>
              </w:rPr>
            </w:r>
          </w:p>
        </w:tc>
      </w:tr>
    </w:tbl>
    <w:sectPr>
      <w:headerReference w:type="default" r:id="rId9"/>
      <w:footerReference w:type="default" r:id="rId10"/>
      <w:pgSz w:w="11906" w:h="16838"/>
      <w:pgMar w:top="965" w:right="965" w:bottom="965" w:left="96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eastAsia="Calibri"/>
        <w:color w:val="7A818A"/>
        <w:sz w:val="17"/>
        <w:lang w:val="es-CL"/>
      </w:rPr>
      <w:t xml:space="preserve">Alunza · CAPSTONE 2026-2 · Página </w:t>
    </w:r>
    <w:r>
      <w:rPr>
        <w:rFonts w:ascii="Calibri" w:hAnsi="Calibri"/>
        <w:color w:val="7A818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40" w:line="240" w:lineRule="auto"/>
      <w:jc w:val="left"/>
      <w:pBdr>
        <w:bottom w:val="single" w:sz="4" w:space="4" w:color="D9DEE5"/>
      </w:pBdr>
    </w:pPr>
    <w:r>
      <w:rPr>
        <w:rFonts w:ascii="Calibri" w:hAnsi="Calibri" w:eastAsia="Calibri"/>
        <w:b/>
        <w:color w:val="10243A"/>
        <w:sz w:val="16"/>
        <w:lang w:val="es-CL"/>
      </w:rPr>
      <w:t>ALUNZA  |  TUTOR UNIVERSITARIO INTELIGENTE PARA PROGRAMACIÓN I  |  CAPSTONE 2026-2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80" w:line="259" w:lineRule="auto"/>
    </w:pPr>
    <w:rPr>
      <w:rFonts w:ascii="Calibri" w:hAnsi="Calibri"/>
      <w:color w:val="222222"/>
      <w:sz w:val="2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unzaTitle">
    <w:name w:val="Alunza Title"/>
    <w:basedOn w:val="Normal"/>
    <w:pPr>
      <w:keepNext/>
      <w:spacing w:before="0" w:after="20"/>
    </w:pPr>
    <w:rPr>
      <w:rFonts w:ascii="Calibri" w:hAnsi="Calibri"/>
      <w:b/>
      <w:color w:val="10243A"/>
      <w:sz w:val="46"/>
    </w:rPr>
  </w:style>
  <w:style w:type="paragraph" w:customStyle="1" w:styleId="AlunzaSubtitle">
    <w:name w:val="Alunza Subtitle"/>
    <w:basedOn w:val="Normal"/>
    <w:pPr>
      <w:keepNext/>
      <w:spacing w:after="140"/>
    </w:pPr>
    <w:rPr>
      <w:rFonts w:ascii="Calibri" w:hAnsi="Calibri"/>
      <w:b/>
      <w:color w:val="183B56"/>
      <w:sz w:val="25"/>
    </w:rPr>
  </w:style>
  <w:style w:type="paragraph" w:customStyle="1" w:styleId="AlunzaSection">
    <w:name w:val="Alunza Section"/>
    <w:basedOn w:val="Normal"/>
    <w:pPr>
      <w:keepNext/>
      <w:widowControl/>
      <w:spacing w:before="140" w:after="80"/>
    </w:pPr>
    <w:rPr>
      <w:rFonts w:ascii="Calibri" w:hAnsi="Calibri"/>
      <w:b/>
      <w:color w:val="10243A"/>
      <w:sz w:val="24"/>
    </w:rPr>
  </w:style>
  <w:style w:type="paragraph" w:customStyle="1" w:styleId="AlunzaSmall">
    <w:name w:val="Alunza Small"/>
    <w:basedOn w:val="Normal"/>
    <w:pPr>
      <w:spacing w:after="40"/>
    </w:pPr>
    <w:rPr>
      <w:rFonts w:ascii="Calibri" w:hAnsi="Calibri"/>
      <w:color w:val="555B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Duoc UC</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ALZ-MIN-004 - Ajuste del MVP a un plazo de 18 semanas</dc:title>
  <dc:subject>Proyecto Alunza - CAPSTONE 2026-2 - Fase 1</dc:subject>
  <dc:creator/>
  <cp:keywords>Alunza, CAPSTONE, Fase 1, ALZ-MIN-004, S0, versión 1.1</cp:keywords>
  <dc:description>Registro interno de definición y planificación; no acredita implementación ni aprobación docente.</dc:description>
  <cp:lastModifiedBy/>
  <cp:revision>2</cp:revision>
  <dcterms:created xsi:type="dcterms:W3CDTF">2026-08-20T18:30:00Z</dcterms:created>
  <dcterms:modified xsi:type="dcterms:W3CDTF">2026-09-03T12:00:00Z</dcterms:modified>
  <cp:category/>
</cp:coreProperties>
</file>