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60" w:line="240" w:lineRule="auto"/>
      </w:pPr>
      <w:r>
        <w:rPr>
          <w:rFonts w:ascii="Calibri" w:hAnsi="Calibri" w:eastAsia="Calibri"/>
          <w:b/>
          <w:color w:val="0D7C78"/>
          <w:sz w:val="17"/>
          <w:lang w:val="es-CL"/>
        </w:rPr>
        <w:t>REGISTRO DE REUNIÓN</w:t>
      </w:r>
    </w:p>
    <w:p>
      <w:pPr>
        <w:pStyle w:val="AlunzaTitle"/>
      </w:pPr>
      <w:r>
        <w:t>Minuta de reunión</w:t>
      </w:r>
    </w:p>
    <w:p>
      <w:pPr>
        <w:pStyle w:val="AlunzaSubtitle"/>
      </w:pPr>
      <w:r>
        <w:t>Actores, casos de uso y requisitos de la ruta crítica</w:t>
      </w:r>
    </w:p>
    <w:p>
      <w:pPr>
        <w:keepNext/>
        <w:widowControl/>
        <w:spacing w:before="0" w:after="140" w:line="240" w:lineRule="auto"/>
        <w:pBdr>
          <w:bottom w:val="single" w:sz="16" w:space="4" w:color="F2B600"/>
        </w:pBdr>
      </w:pPr>
      <w:r>
        <w:rPr>
          <w:rFonts w:ascii="Calibri" w:hAnsi="Calibri" w:eastAsia="Calibri"/>
          <w:b/>
          <w:color w:val="555B63"/>
          <w:sz w:val="18"/>
          <w:lang w:val="es-CL"/>
        </w:rPr>
        <w:t>ALZ-MIN-005   ·   SEMANA 3   ·   SESIÓN A  ·  S1  ·  v1.1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4988"/>
        <w:gridCol w:w="4988"/>
      </w:tblGrid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Proyecto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Alunza — Tutor Universitario Inteligente para Programación 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Código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ALZ-MIN-005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Semana / sesión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Semana 3 · Sesión 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Fecha y hora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25 de agosto de 2026 · 18:30 a 19:20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Modalidad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Duoc UC, sede Puente Alto · reunión interna presencial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Tipo de reunión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Análisis funcional y trazabilidad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42B45"/>
                <w:sz w:val="18"/>
              </w:rPr>
              <w:t>Sprint / iteración</w:t>
            </w:r>
            <w:r>
              <w:rPr>
                <w:rFonts w:ascii="Arial" w:hAnsi="Arial" w:eastAsia="Calibri"/>
                <w:b/>
                <w:i w:val="0"/>
                <w:color w:val="142B45"/>
                <w:sz w:val="18"/>
                <w:lang w:val="es-CL"/>
              </w:rPr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212529"/>
                <w:sz w:val="18"/>
              </w:rPr>
              <w:t>S1 - Definición y diseño inicial (semanas 3-4)</w:t>
            </w:r>
            <w:r>
              <w:rPr>
                <w:rFonts w:ascii="Arial" w:hAnsi="Arial" w:eastAsia="Calibri"/>
                <w:b w:val="0"/>
                <w:i w:val="0"/>
                <w:color w:val="212529"/>
                <w:sz w:val="18"/>
                <w:lang w:val="es-CL"/>
              </w:rPr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42B45"/>
                <w:sz w:val="18"/>
              </w:rPr>
              <w:t>Versión</w:t>
            </w:r>
            <w:r>
              <w:rPr>
                <w:rFonts w:ascii="Arial" w:hAnsi="Arial" w:eastAsia="Calibri"/>
                <w:b/>
                <w:i w:val="0"/>
                <w:color w:val="142B45"/>
                <w:sz w:val="18"/>
                <w:lang w:val="es-CL"/>
              </w:rPr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212529"/>
                <w:sz w:val="18"/>
              </w:rPr>
              <w:t>1.1</w:t>
            </w:r>
            <w:r>
              <w:rPr>
                <w:rFonts w:ascii="Arial" w:hAnsi="Arial" w:eastAsia="Calibri"/>
                <w:b w:val="0"/>
                <w:i w:val="0"/>
                <w:color w:val="212529"/>
                <w:sz w:val="18"/>
                <w:lang w:val="es-CL"/>
              </w:rPr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42B45"/>
                <w:sz w:val="18"/>
              </w:rPr>
              <w:t>Seguimiento</w:t>
            </w:r>
            <w:r>
              <w:rPr>
                <w:rFonts w:ascii="Arial" w:hAnsi="Arial" w:eastAsia="Calibri"/>
                <w:b/>
                <w:i w:val="0"/>
                <w:color w:val="142B45"/>
                <w:sz w:val="18"/>
                <w:lang w:val="es-CL"/>
              </w:rPr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212529"/>
                <w:sz w:val="18"/>
              </w:rPr>
              <w:t>C-010 a C-012: cerrados en diseño; alcance, ruta crítica y spike RAG documentados, no ejecutados.</w:t>
            </w:r>
            <w:r>
              <w:rPr>
                <w:rFonts w:ascii="Arial" w:hAnsi="Arial" w:eastAsia="Calibri"/>
                <w:b w:val="0"/>
                <w:i w:val="0"/>
                <w:color w:val="212529"/>
                <w:sz w:val="18"/>
                <w:lang w:val="es-CL"/>
              </w:rPr>
            </w:r>
          </w:p>
        </w:tc>
      </w:tr>
    </w:tbl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1. </w:t>
      </w:r>
      <w:r>
        <w:rPr>
          <w:rFonts w:ascii="Calibri" w:hAnsi="Calibri" w:eastAsia="Calibri"/>
          <w:b/>
          <w:color w:val="10243A"/>
          <w:sz w:val="24"/>
          <w:lang w:val="es-CL"/>
        </w:rPr>
        <w:t>Objetivo de la reunión</w:t>
      </w:r>
    </w:p>
    <w:p>
      <w:pPr>
        <w:keepLines w:val="0"/>
        <w:widowControl/>
        <w:spacing w:before="0" w:after="80" w:line="259" w:lineRule="auto"/>
        <w:jc w:val="left"/>
      </w:pPr>
      <w:r>
        <w:rPr>
          <w:rFonts w:ascii="Calibri" w:hAnsi="Calibri" w:eastAsia="Calibri"/>
          <w:i w:val="0"/>
          <w:color w:val="222222"/>
          <w:sz w:val="20"/>
          <w:lang w:val="es-CL"/>
        </w:rPr>
        <w:t>Traducir la definición del MVP en actores, casos de uso, requisitos y reglas de negocio que permitan diseñar el sistema sin perder el límite de alcance.</w:t>
      </w:r>
    </w:p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2. </w:t>
      </w:r>
      <w:r>
        <w:rPr>
          <w:rFonts w:ascii="Calibri" w:hAnsi="Calibri" w:eastAsia="Calibri"/>
          <w:b/>
          <w:color w:val="10243A"/>
          <w:sz w:val="24"/>
          <w:lang w:val="es-CL"/>
        </w:rPr>
        <w:t>Participantes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3325"/>
        <w:gridCol w:w="3325"/>
        <w:gridCol w:w="3325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Participante</w:t>
            </w:r>
          </w:p>
        </w:tc>
        <w:tc>
          <w:tcPr>
            <w:tcW w:type="dxa" w:w="53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Foco principal en la sesión</w:t>
            </w:r>
          </w:p>
        </w:tc>
        <w:tc>
          <w:tcPr>
            <w:tcW w:type="dxa" w:w="12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Asistencia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22222"/>
                <w:sz w:val="18"/>
                <w:lang w:val="es-CL"/>
              </w:rPr>
              <w:t>Benjamin Pérez</w:t>
            </w:r>
          </w:p>
        </w:tc>
        <w:tc>
          <w:tcPr>
            <w:tcW w:type="dxa" w:w="53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UX/UI, frontend y documentación</w:t>
            </w:r>
          </w:p>
        </w:tc>
        <w:tc>
          <w:tcPr>
            <w:tcW w:type="dxa" w:w="12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7C78"/>
                <w:sz w:val="18"/>
                <w:lang w:val="es-CL"/>
              </w:rPr>
              <w:t>Presente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22222"/>
                <w:sz w:val="18"/>
                <w:lang w:val="es-CL"/>
              </w:rPr>
              <w:t>Abraham Retamal</w:t>
            </w:r>
          </w:p>
        </w:tc>
        <w:tc>
          <w:tcPr>
            <w:tcW w:type="dxa" w:w="53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Datos, IA/RAG y calidad</w:t>
            </w:r>
          </w:p>
        </w:tc>
        <w:tc>
          <w:tcPr>
            <w:tcW w:type="dxa" w:w="12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7C78"/>
                <w:sz w:val="18"/>
                <w:lang w:val="es-CL"/>
              </w:rPr>
              <w:t>Presente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22222"/>
                <w:sz w:val="18"/>
                <w:lang w:val="es-CL"/>
              </w:rPr>
              <w:t>Marcelo Núñez</w:t>
            </w:r>
          </w:p>
        </w:tc>
        <w:tc>
          <w:tcPr>
            <w:tcW w:type="dxa" w:w="53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Product Owner, backend e integración</w:t>
            </w:r>
          </w:p>
        </w:tc>
        <w:tc>
          <w:tcPr>
            <w:tcW w:type="dxa" w:w="12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7C78"/>
                <w:sz w:val="18"/>
                <w:lang w:val="es-CL"/>
              </w:rPr>
              <w:t>Presente</w:t>
            </w:r>
          </w:p>
        </w:tc>
      </w:tr>
    </w:tbl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3. </w:t>
      </w:r>
      <w:r>
        <w:rPr>
          <w:rFonts w:ascii="Calibri" w:hAnsi="Calibri" w:eastAsia="Calibri"/>
          <w:b/>
          <w:color w:val="10243A"/>
          <w:sz w:val="24"/>
          <w:lang w:val="es-CL"/>
        </w:rPr>
        <w:t>Temas tratados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Actores administrador institucional mínimo, profesor y estudiante; administración avanzada fuera del núcleo.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Creación de clase, publicación de actividad, resolución de ejercicio y revisión de señales.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Autorización por relación con la clase y casos alternativos de error.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Telemetría mínima, taxonomía controlada y tres señales docentes prioritarias.</w:t>
      </w:r>
    </w:p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4. </w:t>
      </w:r>
      <w:r>
        <w:rPr>
          <w:rFonts w:ascii="Calibri" w:hAnsi="Calibri" w:eastAsia="Calibri"/>
          <w:b/>
          <w:color w:val="10243A"/>
          <w:sz w:val="24"/>
          <w:lang w:val="es-CL"/>
        </w:rPr>
        <w:t>Síntesis de la sesión</w:t>
      </w:r>
    </w:p>
    <w:p>
      <w:pPr>
        <w:keepLines w:val="0"/>
        <w:widowControl/>
        <w:spacing w:before="0" w:after="0" w:line="259" w:lineRule="auto"/>
        <w:jc w:val="left"/>
      </w:pPr>
      <w:r>
        <w:rPr>
          <w:rFonts w:ascii="Calibri" w:hAnsi="Calibri" w:eastAsia="Calibri"/>
          <w:i w:val="0"/>
          <w:color w:val="222222"/>
          <w:sz w:val="20"/>
          <w:lang w:val="es-CL"/>
        </w:rPr>
        <w:t>Se revisó el mapa de actores y se priorizaron los casos de uso que sostienen el flujo dorado. El administrador institucional mínimo configurará organización, cursos y cuentas, sin asumir funciones académicas. El profesor administrará una clase, publicará actividades, cargará material y revisará resultados; el estudiante se incorporará mediante un código controlado, resolverá ejercicios, ejecutará código, solicitará pistas y consultará feedback. Cada caso deberá incluir precondiciones, curso normal, alternativas y postcondiciones. Los permisos se validarán en backend y las vistas vacías o de error serán parte del criterio de aceptación. Para la trazabilidad docente se conservarán eventos mínimos al abrir, ejecutar, enviar, pedir pista, ver feedback y completar, sin registrar cada tecla.</w:t>
      </w:r>
    </w:p>
    <w:p>
      <w:r>
        <w:br w:type="page"/>
      </w:r>
    </w:p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5. </w:t>
      </w:r>
      <w:r>
        <w:rPr>
          <w:rFonts w:ascii="Calibri" w:hAnsi="Calibri" w:eastAsia="Calibri"/>
          <w:b/>
          <w:color w:val="10243A"/>
          <w:sz w:val="24"/>
          <w:lang w:val="es-CL"/>
        </w:rPr>
        <w:t>Acuerdos adoptados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4988"/>
        <w:gridCol w:w="498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Tema</w:t>
            </w:r>
          </w:p>
        </w:tc>
        <w:tc>
          <w:tcPr>
            <w:tcW w:type="dxa" w:w="73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Acuerdo adoptado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Actores</w:t>
            </w:r>
          </w:p>
        </w:tc>
        <w:tc>
          <w:tcPr>
            <w:tcW w:type="dxa" w:w="73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Mantener administrador institucional mínimo, profesor y estudiante como actores; las funciones administrativas avanzadas no condicionarán el MVP.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Autorización</w:t>
            </w:r>
          </w:p>
        </w:tc>
        <w:tc>
          <w:tcPr>
            <w:tcW w:type="dxa" w:w="73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Toda lectura o modificación académica deberá validarse por organización, curso, clase y rol en el backend.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Señales</w:t>
            </w:r>
          </w:p>
        </w:tc>
        <w:tc>
          <w:tcPr>
            <w:tcW w:type="dxa" w:w="73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Definir para el MVP las señales de inactividad, error repetido y estancamiento con regla visible, evidencia y estado revisado.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</w:tr>
    </w:tbl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6. </w:t>
      </w:r>
      <w:r>
        <w:rPr>
          <w:rFonts w:ascii="Calibri" w:hAnsi="Calibri" w:eastAsia="Calibri"/>
          <w:b/>
          <w:color w:val="10243A"/>
          <w:sz w:val="24"/>
          <w:lang w:val="es-CL"/>
        </w:rPr>
        <w:t>Compromisos y responsables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3325"/>
        <w:gridCol w:w="3325"/>
        <w:gridCol w:w="3325"/>
      </w:tblGrid>
      <w:tr>
        <w:trPr>
          <w:cantSplit/>
          <w:tblHeader/>
        </w:trPr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</w:rPr>
              <w:t>ID y actividad comprometida</w:t>
            </w:r>
            <w:r>
              <w:rPr>
                <w:rFonts w:ascii="Arial" w:hAnsi="Arial" w:eastAsia="Calibri"/>
                <w:b/>
                <w:i w:val="0"/>
                <w:color w:val="FFFFFF"/>
                <w:sz w:val="18"/>
                <w:lang w:val="es-CL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Responsable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Fecha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C-013 · Completar mockups de profesor, estudiante y flujo de ejercicio.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Benjamin Pérez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27-08-2026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C-014 · Cerrar ERS, casos de uso principales y matriz de permisos.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Marcelo Núñez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27-08-2026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C-015 · Definir eventos, resultados técnicos y reglas iniciales de señales.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Abraham Retamal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27-08-2026</w:t>
            </w:r>
          </w:p>
        </w:tc>
      </w:tr>
    </w:tbl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7. </w:t>
      </w:r>
      <w:r>
        <w:rPr>
          <w:rFonts w:ascii="Calibri" w:hAnsi="Calibri" w:eastAsia="Calibri"/>
          <w:b/>
          <w:color w:val="10243A"/>
          <w:sz w:val="24"/>
          <w:lang w:val="es-CL"/>
        </w:rPr>
        <w:t>Riesgos y bloqueos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Duplicar información entre ERS, casos de uso, backlog y presentación sin una matriz de trazabilidad.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Diseñar vistas docentes antes de confirmar qué preguntas y evidencias deben mostrar.</w:t>
      </w:r>
    </w:p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8. </w:t>
      </w:r>
      <w:r>
        <w:rPr>
          <w:rFonts w:ascii="Calibri" w:hAnsi="Calibri" w:eastAsia="Calibri"/>
          <w:b/>
          <w:color w:val="10243A"/>
          <w:sz w:val="24"/>
          <w:lang w:val="es-CL"/>
        </w:rPr>
        <w:t>Próxima sesión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4988"/>
        <w:gridCol w:w="4988"/>
      </w:tblGrid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7F4F3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Próxima fecha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22222"/>
                <w:sz w:val="18"/>
                <w:lang w:val="es-CL"/>
              </w:rPr>
              <w:t>27 de agosto de 2026 · 18:30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7F4F3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Objetivo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Aprobar Informe_ERS_Alunza.docx como línea base funcional y revisar arquitectura, datos, seguridad, Docker y estrategia de pruebas.</w:t>
            </w:r>
          </w:p>
        </w:tc>
      </w:tr>
    </w:tbl>
    <w:p>
      <w:pPr>
        <w:widowControl/>
        <w:spacing w:before="120" w:after="80" w:line="240" w:lineRule="auto"/>
      </w:pP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E4C44E"/>
          <w:left w:val="single" w:sz="6" w:space="0" w:color="E4C44E"/>
          <w:bottom w:val="single" w:sz="6" w:space="0" w:color="E4C44E"/>
          <w:right w:val="single" w:sz="6" w:space="0" w:color="E4C44E"/>
          <w:insideH w:val="single" w:sz="0" w:space="0" w:color="E4C44E"/>
          <w:insideV w:val="single" w:sz="0" w:space="0" w:color="E4C44E"/>
        </w:tblBorders>
      </w:tblPr>
      <w:tblGrid>
        <w:gridCol w:w="9976"/>
      </w:tblGrid>
      <w:tr>
        <w:trPr>
          <w:cantSplit/>
        </w:trPr>
        <w:tc>
          <w:tcPr>
            <w:tcW w:type="dxa" w:w="9576"/>
            <w:shd w:fill="FFF5CC" w:val="clea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0243A"/>
                <w:sz w:val="18"/>
                <w:lang w:val="es-CL"/>
              </w:rPr>
              <w:t>Observación: los acuerdos y estados fueron revisados internamente por el equipo Alunza. Los cierres corresponden a definición o documentación y no implican software implementado.</w:t>
            </w:r>
            <w:r>
              <w:rPr>
                <w:rFonts w:ascii="Calibri" w:hAnsi="Calibri" w:eastAsia="Calibri"/>
                <w:color w:val="555B63"/>
                <w:sz w:val="18"/>
                <w:lang w:val="es-CL"/>
              </w:rPr>
            </w:r>
          </w:p>
        </w:tc>
      </w:tr>
    </w:tbl>
    <w:sectPr>
      <w:headerReference w:type="default" r:id="rId9"/>
      <w:footerReference w:type="default" r:id="rId10"/>
      <w:pgSz w:w="11906" w:h="16838"/>
      <w:pgMar w:top="965" w:right="965" w:bottom="965" w:left="9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right"/>
    </w:pPr>
    <w:r>
      <w:rPr>
        <w:rFonts w:ascii="Calibri" w:hAnsi="Calibri" w:eastAsia="Calibri"/>
        <w:color w:val="7A818A"/>
        <w:sz w:val="17"/>
        <w:lang w:val="es-CL"/>
      </w:rPr>
      <w:t xml:space="preserve">Alunza · CAPSTONE 2026-2 · Página </w:t>
    </w:r>
    <w:r>
      <w:rPr>
        <w:rFonts w:ascii="Calibri" w:hAnsi="Calibri"/>
        <w:color w:val="7A818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40" w:line="240" w:lineRule="auto"/>
      <w:jc w:val="left"/>
      <w:pBdr>
        <w:bottom w:val="single" w:sz="4" w:space="4" w:color="D9DEE5"/>
      </w:pBdr>
    </w:pPr>
    <w:r>
      <w:rPr>
        <w:rFonts w:ascii="Calibri" w:hAnsi="Calibri" w:eastAsia="Calibri"/>
        <w:b/>
        <w:color w:val="10243A"/>
        <w:sz w:val="16"/>
        <w:lang w:val="es-CL"/>
      </w:rPr>
      <w:t>ALUNZA  |  TUTOR UNIVERSITARIO INTELIGENTE PARA PROGRAMACIÓN I  |  CAPSTONE 2026-2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/>
      <w:spacing w:after="80" w:line="259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lunzaTitle">
    <w:name w:val="Alunza Title"/>
    <w:basedOn w:val="Normal"/>
    <w:pPr>
      <w:keepNext/>
      <w:spacing w:before="0" w:after="20"/>
    </w:pPr>
    <w:rPr>
      <w:rFonts w:ascii="Calibri" w:hAnsi="Calibri"/>
      <w:b/>
      <w:color w:val="10243A"/>
      <w:sz w:val="46"/>
    </w:rPr>
  </w:style>
  <w:style w:type="paragraph" w:customStyle="1" w:styleId="AlunzaSubtitle">
    <w:name w:val="Alunza Subtitle"/>
    <w:basedOn w:val="Normal"/>
    <w:pPr>
      <w:keepNext/>
      <w:spacing w:after="140"/>
    </w:pPr>
    <w:rPr>
      <w:rFonts w:ascii="Calibri" w:hAnsi="Calibri"/>
      <w:b/>
      <w:color w:val="183B56"/>
      <w:sz w:val="25"/>
    </w:rPr>
  </w:style>
  <w:style w:type="paragraph" w:customStyle="1" w:styleId="AlunzaSection">
    <w:name w:val="Alunza Section"/>
    <w:basedOn w:val="Normal"/>
    <w:pPr>
      <w:keepNext/>
      <w:widowControl/>
      <w:spacing w:before="140" w:after="80"/>
    </w:pPr>
    <w:rPr>
      <w:rFonts w:ascii="Calibri" w:hAnsi="Calibri"/>
      <w:b/>
      <w:color w:val="10243A"/>
      <w:sz w:val="24"/>
    </w:rPr>
  </w:style>
  <w:style w:type="paragraph" w:customStyle="1" w:styleId="AlunzaSmall">
    <w:name w:val="Alunza Small"/>
    <w:basedOn w:val="Normal"/>
    <w:pPr>
      <w:spacing w:after="40"/>
    </w:pPr>
    <w:rPr>
      <w:rFonts w:ascii="Calibri" w:hAnsi="Calibri"/>
      <w:color w:val="555B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Duoc UC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ALZ-MIN-005 - Actores, casos de uso y requisitos de la ruta crítica</dc:title>
  <dc:subject>Proyecto Alunza - CAPSTONE 2026-2 - Fase 1</dc:subject>
  <dc:creator/>
  <cp:keywords>Alunza, CAPSTONE, Fase 1, ALZ-MIN-005, S1, versión 1.1</cp:keywords>
  <dc:description>Registro interno de definición y planificación; no acredita implementación ni aprobación docente.</dc:description>
  <cp:lastModifiedBy/>
  <cp:revision>2</cp:revision>
  <dcterms:created xsi:type="dcterms:W3CDTF">2026-08-25T18:30:00Z</dcterms:created>
  <dcterms:modified xsi:type="dcterms:W3CDTF">2026-09-03T12:00:00Z</dcterms:modified>
  <cp:category/>
</cp:coreProperties>
</file>