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Seminario en didáctica de la aritmética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 xml:space="preserve">Licenciatura en matemáticas </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2024-1, 2024 - 2</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Fonts w:eastAsia="Calibri" w:cs="Calibri" w:ascii="Calibri" w:hAnsi="Calibri"/>
                    <w:color w:val="222222"/>
                    <w:kern w:val="0"/>
                    <w:position w:val="0"/>
                    <w:sz w:val="24"/>
                    <w:sz w:val="24"/>
                    <w:szCs w:val="20"/>
                    <w:vertAlign w:val="baseline"/>
                    <w:lang w:val="es-ES" w:eastAsia="es-ES" w:bidi="ar-SA"/>
                  </w:rPr>
                </w:r>
                <w:r>
                  <w:rPr>
                    <w:rFonts w:eastAsia="Calibri" w:cs="Calibri" w:ascii="Calibri" w:hAnsi="Calibri"/>
                    <w:color w:val="222222"/>
                    <w:kern w:val="0"/>
                    <w:position w:val="0"/>
                    <w:sz w:val="24"/>
                    <w:sz w:val="24"/>
                    <w:szCs w:val="20"/>
                    <w:vertAlign w:val="baseline"/>
                    <w:lang w:val="es-ES" w:eastAsia="es-ES" w:bidi="ar-SA"/>
                  </w:rPr>
                  <w:t>2096232</w:t>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Este curso lo estamos construyendo con un enfoque aplicativo a las ciencias económicas y con una metodología de enseñanza de Aprendizaje basado en problemas económicos.</w:t>
            </w:r>
          </w:p>
          <w:p>
            <w:pPr>
              <w:pStyle w:val="Normal"/>
              <w:widowControl/>
              <w:suppressAutoHyphens w:val="true"/>
              <w:spacing w:before="0" w:after="0"/>
              <w:jc w:val="both"/>
              <w:rPr>
                <w:color w:val="000000"/>
                <w:highlight w:val="none"/>
                <w:shd w:fill="FFFFFF" w:val="clear"/>
              </w:rPr>
            </w:pPr>
            <w: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Sólida formación académica resultado de la imbricación entre los saberes disciplinares, didácticos y pedagógicos.</w:t>
            </w:r>
          </w:p>
          <w:p>
            <w:pPr>
              <w:pStyle w:val="Normal"/>
              <w:suppressAutoHyphens w:val="true"/>
              <w:ind w:hanging="0" w:left="0" w:right="0"/>
              <w:rPr>
                <w:color w:val="000000"/>
                <w:highlight w:val="none"/>
                <w:shd w:fill="FFFFFF" w:val="clear"/>
              </w:rPr>
            </w:pPr>
            <w:r>
              <w:rPr>
                <w:color w:val="000000"/>
                <w:shd w:fill="FFFFFF" w:val="clear"/>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Normal"/>
              <w:suppressAutoHyphens w:val="true"/>
              <w:ind w:hanging="0" w:left="0" w:right="0"/>
              <w:rPr>
                <w:color w:val="000000"/>
                <w:highlight w:val="none"/>
                <w:shd w:fill="FFFFFF" w:val="clear"/>
              </w:rPr>
            </w:pPr>
            <w:r>
              <w:rPr>
                <w:color w:val="000000"/>
                <w:shd w:fill="FFFFFF" w:val="clear"/>
              </w:rPr>
              <w:t>Reconocimiento de sí mismo como un ser ético, estético y político para contribuir a las transformaciones sociales.</w:t>
            </w:r>
          </w:p>
          <w:p>
            <w:pPr>
              <w:pStyle w:val="Normal"/>
              <w:suppressAutoHyphens w:val="true"/>
              <w:ind w:hanging="0" w:left="0" w:right="0"/>
              <w:rPr>
                <w:color w:val="000000"/>
                <w:highlight w:val="none"/>
                <w:shd w:fill="FFFFFF" w:val="clear"/>
              </w:rPr>
            </w:pPr>
            <w:r>
              <w:rPr>
                <w:color w:val="000000"/>
                <w:shd w:fill="FFFFFF" w:val="clear"/>
              </w:rPr>
              <w:t>Reconocimiento del papel de la Educación Matemática en la formación de seres humanos críticos y reflexivos.</w:t>
            </w:r>
          </w:p>
          <w:p>
            <w:pPr>
              <w:pStyle w:val="Normal"/>
              <w:suppressAutoHyphens w:val="true"/>
              <w:ind w:hanging="0" w:left="0" w:right="0"/>
              <w:rPr>
                <w:color w:val="000000"/>
                <w:highlight w:val="none"/>
                <w:shd w:fill="FFFFFF" w:val="clear"/>
              </w:rPr>
            </w:pPr>
            <w:r>
              <w:rPr>
                <w:color w:val="000000"/>
                <w:shd w:fill="FFFFFF" w:val="clear"/>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Normal"/>
              <w:suppressAutoHyphens w:val="true"/>
              <w:ind w:hanging="0" w:left="0" w:right="0"/>
              <w:rPr>
                <w:color w:val="000000"/>
                <w:highlight w:val="none"/>
                <w:shd w:fill="FFFFFF" w:val="clear"/>
              </w:rPr>
            </w:pPr>
            <w:r>
              <w:rPr>
                <w:color w:val="000000"/>
                <w:shd w:fill="FFFFFF" w:val="clear"/>
              </w:rPr>
              <w:t>Compromiso con los procesos de reflexión y de investigación sobre la enseñanza y el aprendizaje de las matemáticas,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capaz de participar en redes y comunidades académicas e investigativas (nacionales o internacionales) de producción científica abierta.</w:t>
            </w:r>
          </w:p>
          <w:p>
            <w:pPr>
              <w:pStyle w:val="Normal"/>
              <w:suppressAutoHyphens w:val="true"/>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Resultados de aprendizaje:</w:t>
            </w:r>
          </w:p>
          <w:p>
            <w:pPr>
              <w:pStyle w:val="Normal"/>
              <w:suppressAutoHyphens w:val="true"/>
              <w:rPr>
                <w:color w:val="000000"/>
                <w:highlight w:val="none"/>
                <w:shd w:fill="FFFFFF" w:val="clear"/>
              </w:rPr>
            </w:pPr>
            <w:r>
              <w:rPr>
                <w:color w:val="000000"/>
                <w:shd w:fill="FFFFFF" w:val="clear"/>
              </w:rPr>
            </w:r>
          </w:p>
          <w:p>
            <w:pPr>
              <w:pStyle w:val="Normal"/>
              <w:suppressAutoHyphens w:val="true"/>
              <w:ind w:hanging="0" w:left="0" w:right="0"/>
              <w:rPr>
                <w:color w:val="000000"/>
                <w:highlight w:val="none"/>
                <w:shd w:fill="FFFFFF" w:val="clear"/>
              </w:rPr>
            </w:pPr>
            <w:r>
              <w:rPr>
                <w:color w:val="000000"/>
                <w:shd w:fill="FFFFFF" w:val="clear"/>
              </w:rPr>
              <w:t>* Comprender los fundamentos teóricos y metodológicos de las matemáticas, su historia y su didáctica, para diseñar propuestas educativas que promuevan el pensamiento matemático de los estudiantes en la educación básica, media y terciaria.</w:t>
            </w:r>
          </w:p>
          <w:p>
            <w:pPr>
              <w:pStyle w:val="Normal"/>
              <w:suppressAutoHyphens w:val="true"/>
              <w:ind w:hanging="0" w:left="0" w:right="0"/>
              <w:rPr>
                <w:color w:val="000000"/>
                <w:highlight w:val="none"/>
                <w:shd w:fill="FFFFFF" w:val="clear"/>
              </w:rPr>
            </w:pPr>
            <w:r>
              <w:rPr>
                <w:color w:val="000000"/>
                <w:shd w:fill="FFFFFF" w:val="clear"/>
              </w:rPr>
              <w:t>* 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 Conocer los problemas y paradigmas de investigación en educación matemática, para informar sus actuaciones en el ejercicio profesional.</w:t>
            </w:r>
          </w:p>
          <w:p>
            <w:pPr>
              <w:pStyle w:val="Normal"/>
              <w:suppressAutoHyphens w:val="true"/>
              <w:ind w:hanging="0" w:left="0" w:right="0"/>
              <w:rPr>
                <w:color w:val="000000"/>
                <w:highlight w:val="none"/>
                <w:shd w:fill="FFFFFF" w:val="clear"/>
              </w:rPr>
            </w:pPr>
            <w:r>
              <w:rPr>
                <w:color w:val="000000"/>
                <w:shd w:fill="FFFFFF" w:val="clear"/>
              </w:rPr>
              <w:t>Analizar críticamente elementos curriculares, sociales y políticos que configuran las prácticas en educación matemática en Colombia para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Investigar sobre las problemáticas de la enseñanza o el aprendizaje de las matemáticas en contextos específicos de práctica, y proponer soluciones innovadoras para promover el desarrollo del pensamiento matemático de los estudiantes.</w:t>
            </w:r>
          </w:p>
          <w:p>
            <w:pPr>
              <w:pStyle w:val="Normal"/>
              <w:suppressAutoHyphens w:val="true"/>
              <w:ind w:hanging="0" w:left="0" w:right="0"/>
              <w:rPr>
                <w:color w:val="000000"/>
                <w:highlight w:val="none"/>
                <w:shd w:fill="FFFFFF" w:val="clear"/>
              </w:rPr>
            </w:pPr>
            <w:r>
              <w:rPr>
                <w:color w:val="000000"/>
                <w:shd w:fill="FFFFFF" w:val="clear"/>
              </w:rPr>
              <w:t>Utilizar en su práctica profesional los conocimientos teóricos y metodológicos relacionados con las matemáticas, su historia, filosofía y epistemología de la educación.</w:t>
            </w:r>
          </w:p>
          <w:p>
            <w:pPr>
              <w:pStyle w:val="Normal"/>
              <w:suppressAutoHyphens w:val="true"/>
              <w:ind w:hanging="0" w:left="0" w:right="0"/>
              <w:rPr>
                <w:color w:val="000000"/>
                <w:highlight w:val="none"/>
                <w:shd w:fill="FFFFFF" w:val="clear"/>
              </w:rPr>
            </w:pPr>
            <w:r>
              <w:rPr>
                <w:color w:val="000000"/>
                <w:shd w:fill="FFFFFF" w:val="clear"/>
              </w:rPr>
              <w:t>Se posiciona críticamente frente a la política educativa nacional en educación matemática para analizar los problemas profesionales de las instituciones educativas y los sujetos.</w:t>
            </w:r>
          </w:p>
          <w:p>
            <w:pPr>
              <w:pStyle w:val="Normal"/>
              <w:suppressAutoHyphens w:val="true"/>
              <w:ind w:hanging="0" w:left="0" w:right="0"/>
              <w:rPr>
                <w:color w:val="000000"/>
                <w:highlight w:val="none"/>
                <w:shd w:fill="FFFFFF" w:val="clear"/>
              </w:rPr>
            </w:pPr>
            <w:r>
              <w:rPr>
                <w:color w:val="000000"/>
                <w:shd w:fill="FFFFFF" w:val="clear"/>
              </w:rPr>
              <w:t>Identificar en la pluralidad de saberes la diversidad de los estudiantes para diseñar propuestas educativas inclusivas.</w:t>
            </w:r>
          </w:p>
          <w:p>
            <w:pPr>
              <w:pStyle w:val="Normal"/>
              <w:suppressAutoHyphens w:val="true"/>
              <w:ind w:hanging="0" w:left="0" w:right="0"/>
              <w:rPr/>
            </w:pPr>
            <w:r>
              <w:rPr/>
            </w:r>
          </w:p>
          <w:p>
            <w:pPr>
              <w:pStyle w:val="Normal"/>
              <w:suppressAutoHyphens w:val="true"/>
              <w:ind w:hanging="0" w:left="0" w:right="0"/>
              <w:rPr>
                <w:rFonts w:eastAsia="Calibri" w:cs="Calibri"/>
                <w:b w:val="false"/>
                <w:i w:val="false"/>
                <w:i w:val="false"/>
                <w:caps w:val="false"/>
                <w:smallCaps w:val="false"/>
                <w:strike w:val="false"/>
                <w:dstrike w:val="false"/>
                <w:position w:val="0"/>
                <w:sz w:val="20"/>
                <w:sz w:val="20"/>
                <w:u w:val="none"/>
                <w:shd w:fill="auto" w:val="clear"/>
                <w:vertAlign w:val="baseline"/>
              </w:rPr>
            </w:pPr>
            <w:r>
              <w:rPr>
                <w:rFonts w:eastAsia="Calibri" w:cs="Calibri"/>
                <w:b w:val="false"/>
                <w:i w:val="false"/>
                <w:caps w:val="false"/>
                <w:smallCaps w:val="false"/>
                <w:strike w:val="false"/>
                <w:dstrike w:val="false"/>
                <w:position w:val="0"/>
                <w:sz w:val="20"/>
                <w:sz w:val="20"/>
                <w:u w:val="none"/>
                <w:shd w:fill="auto" w:val="clear"/>
                <w:vertAlign w:val="baseline"/>
              </w:rPr>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suppressAutoHyphens w:val="true"/>
              <w:spacing w:before="0" w:after="0"/>
              <w:jc w:val="both"/>
              <w:rPr>
                <w:rFonts w:ascii="Calibri" w:hAnsi="Calibri" w:asciiTheme="minorHAnsi" w:hAnsiTheme="minorHAnsi"/>
                <w:color w:val="000000"/>
                <w:sz w:val="22"/>
                <w:szCs w:val="22"/>
                <w:highlight w:val="none"/>
                <w:shd w:fill="FFFFFF" w:val="clear"/>
              </w:rPr>
            </w:pPr>
            <w:r>
              <w:rPr>
                <w:rFonts w:asciiTheme="minorHAnsi" w:hAnsiTheme="minorHAnsi" w:ascii="Calibri" w:hAnsi="Calibri"/>
                <w:color w:val="000000"/>
                <w:sz w:val="22"/>
                <w:szCs w:val="22"/>
                <w:shd w:fill="FFFFFF" w:val="clea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rFonts w:eastAsia="Calibri" w:cs="Calibri"/>
                <w:b/>
                <w:bCs/>
                <w:position w:val="0"/>
                <w:sz w:val="24"/>
                <w:sz w:val="24"/>
                <w:szCs w:val="22"/>
                <w:vertAlign w:val="baseline"/>
              </w:rPr>
              <w:t>Objetivo General del curso:</w:t>
            </w:r>
          </w:p>
          <w:p>
            <w:pPr>
              <w:pStyle w:val="Normal1"/>
              <w:jc w:val="both"/>
              <w:rPr>
                <w:position w:val="0"/>
                <w:sz w:val="22"/>
                <w:sz w:val="22"/>
                <w:szCs w:val="22"/>
                <w:vertAlign w:val="baseline"/>
              </w:rPr>
            </w:pPr>
            <w:r>
              <w:rPr>
                <w:rFonts w:eastAsia="Calibri" w:cs="Calibri"/>
                <w:position w:val="0"/>
                <w:sz w:val="24"/>
                <w:sz w:val="24"/>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4"/>
                <w:sz w:val="24"/>
                <w:szCs w:val="22"/>
                <w:vertAlign w:val="baseline"/>
              </w:rPr>
              <w:t>.</w:t>
            </w:r>
          </w:p>
          <w:p>
            <w:pPr>
              <w:pStyle w:val="Normal1"/>
              <w:jc w:val="both"/>
              <w:rPr>
                <w:position w:val="0"/>
                <w:sz w:val="22"/>
                <w:sz w:val="22"/>
                <w:szCs w:val="22"/>
                <w:vertAlign w:val="baseline"/>
              </w:rPr>
            </w:pPr>
            <w:r>
              <w:rPr>
                <w:position w:val="0"/>
                <w:sz w:val="22"/>
                <w:sz w:val="22"/>
                <w:szCs w:val="22"/>
                <w:vertAlign w:val="baseline"/>
              </w:rPr>
            </w:r>
          </w:p>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Este curso de seminario en didáctica de la aritmética hace aportes significativos a la formación integral y a la formación en investigación del futuro licenciado en matemáticas desde varias perspectivas: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 El curso promueve una reflexión sobre la responsabilidad ética del docente en la enseñanza de las matemáticas, al considerar cómo se abordan los conceptos y procesos numéricos en el contexto escolar. Además, al diseñar estrategias didácticas inclusivas y reflexionar sobre su implementación, se fomenta el respeto y la valoración de la diversidad de capacidades y estilos de aprendizaje de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 Al analizar los lineamientos curriculares y estándares educativos emitidos por el Ministerio de Educación Nacional, el curso permite comprender cómo las decisiones políticas influyen en la enseñanza de las matemáticas en Colombia. Esto capacita al futuro licenciado para ser un agente de cambio en el sistema educativo, abogando por prácticas pedagógicas más efectivas y relevantes.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 A través del análisis de diferentes enfoques epistemológicos en la construcción del pensamiento numérico, el curso invita a apreciar la belleza y la elegancia de las matemáticas. Además, al diseñar y llevar a cabo actividades de aprendizaje creativas y motivadoras, se busca cultivar en los estudiantes una apreciación por la aritmética y su relevancia en la vida cotidiana.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 El curso proporciona una base sólida en los fundamentos teóricos y metodológicos de la aritmética, lo que contribuye al desarrollo del pensamiento lógico y crítico del futuro licenciado en matemáticas. Además, al analizar y diseñar estrategias didácticas para el desarrollo del pensamiento numérico, se fortalecen las habilidades de resolución de problemas y argumentación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cuanto a la formación en investigación, el curso ofrece oportunidades para: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Analizar críticamente la literatura educativa relacionada con la enseñanza de la aritmética y proponer nuevas perspectivas o enfoques.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Diseñar y llevar a cabo investigaciones en el aula para evaluar la efectividad de diferentes estrategias didácticas en el desarrollo del pensamiento numérico.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Reflexionar sobre la práctica docente y generar conocimiento práctico que pueda ser compartido con la comunidad educativa.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Desarrollar habilidades para la recopilación, análisis e interpretación de datos relacionados con el aprendizaje de la aritmética, contribuyendo así al avance del conocimiento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4"/>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4"/>
                <w:sz w:val="24"/>
                <w:u w:val="none"/>
                <w:shd w:fill="auto" w:val="clear"/>
                <w:vertAlign w:val="baseline"/>
              </w:rPr>
              <w:t>Diseño, implementación y reflexión de una práctica relacionada con el pensamiento numérico en la escuela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LibreOffice/24.2.2.2$Linux_X86_64 LibreOffice_project/427a8baee0312a7693737440f205d2e411d50bad</Application>
  <AppVersion>15.0000</AppVersion>
  <Pages>8</Pages>
  <Words>2502</Words>
  <Characters>15009</Characters>
  <CharactersWithSpaces>17411</CharactersWithSpaces>
  <Paragraphs>168</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2024-04-05T15:18:21Z</dcterms:modified>
  <cp:revision>15</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