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Resumen: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Este artículo aborda la enseñanza de la resolución de ecuaciones a través del concepto de función, utilizando Python y cuadernos Jupyter. Propone un enfoque innovador que se aleja del razonamiento algebraico tradicional, privilegiando la observación, lectura e interpretación de representaciones tabulares y gráficas de funciones. Este enfoque busca mejorar la comprensión conceptual, la motivación de los estudiantes y su capacidad para aplicar la tecnología en el aprendizaje matemático. La implementación se basa en la visualización de funciones y la identificación de soluciones de ecuaciones mediante gráficos interactivos.</w:t>
      </w:r>
    </w:p>
    <w:p>
      <w:pPr>
        <w:pStyle w:val="Normal"/>
        <w:ind w:right="-1"/>
        <w:rPr>
          <w:b w:val="false"/>
          <w:bCs w:val="false"/>
        </w:rPr>
      </w:pPr>
      <w:r>
        <w:rPr>
          <w:b w:val="false"/>
          <w:bCs w:val="false"/>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Palabras clave en español:</w:t>
      </w:r>
    </w:p>
    <w:p>
      <w:pPr>
        <w:pStyle w:val="Normal"/>
        <w:ind w:right="-1"/>
        <w:rPr>
          <w:b w:val="false"/>
          <w:bCs w:val="false"/>
        </w:rPr>
      </w:pPr>
      <w:r>
        <w:rPr>
          <w:rFonts w:eastAsia="Open Sans" w:cs="Open Sans" w:ascii="Open Sans" w:hAnsi="Open Sans"/>
          <w:b w:val="false"/>
          <w:bCs w:val="false"/>
          <w:spacing w:val="-1"/>
          <w:sz w:val="18"/>
          <w:szCs w:val="18"/>
          <w:lang w:val="es-CO"/>
        </w:rPr>
        <w:t>Resolución de ecuaciones, funciones, Python, Jupyter Notebooks, visualización gráfica, enseñanza de matemáticas,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Abstract: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The article discusses teaching equation solving through the concept of functions, using Python and Jupyter notebooks. It proposes an innovative approach that shifts away from traditional algebraic reasoning, favoring the observation, reading, and interpretation of tabular and graphical representations of functions. This approach aims to enhance conceptual understanding, student motivation, and their ability to apply technology in mathematical learning. The implementation relies on function visualization and identifying equation solutions through interactive graphs.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Keywords in English: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Equation solving, functions, Python, Jupyter Notebooks, graphical visualization, mathematics teaching, tabular representation.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observaron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arial" w:hAnsi="arial"/>
          <w:b w:val="false"/>
          <w:bCs w:val="false"/>
          <w:i w:val="false"/>
          <w:iCs w:val="false"/>
          <w:spacing w:val="-1"/>
          <w:sz w:val="20"/>
          <w:szCs w:val="20"/>
          <w:lang w:val="es-CO"/>
        </w:rPr>
        <w:t xml:space="preserve">Muchos estudiantes presentan serias dificultades para comprender y aplicar el razonamiento algebraico. Esto se evidencia en su dificultad para manipular y simplificar expresiones algebraicas, resolver ecuaciones y entender las propiedades fundamentales de las operaciones algebraicas </w:t>
      </w:r>
      <w:r>
        <w:rPr>
          <w:rFonts w:eastAsia="Open Sans" w:cs="Open Sans" w:ascii="Open Sans" w:hAnsi="Open Sans"/>
          <w:b w:val="false"/>
          <w:bCs w:val="false"/>
          <w:i w:val="false"/>
          <w:iCs w:val="false"/>
          <w:spacing w:val="-1"/>
          <w:sz w:val="20"/>
          <w:szCs w:val="20"/>
          <w:lang w:val="es-CO"/>
        </w:rPr>
        <w:t>[1]</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3. Dificultades con Términos Semejantes: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[3].</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4.</w:t>
      </w:r>
      <w:r>
        <w:rPr>
          <w:rFonts w:eastAsia="Open Sans" w:cs="Open Sans" w:ascii="Arial" w:hAnsi="Arial"/>
          <w:b/>
          <w:bCs/>
          <w:color w:val="000000"/>
          <w:spacing w:val="-1"/>
          <w:sz w:val="20"/>
          <w:szCs w:val="20"/>
          <w:shd w:fill="auto" w:val="clear"/>
          <w:lang w:val="es-CO"/>
        </w:rPr>
        <w:t xml:space="preserve"> Problemas con Fracciones Algebraicas:</w:t>
      </w:r>
    </w:p>
    <w:p>
      <w:pPr>
        <w:pStyle w:val="Normal"/>
        <w:spacing w:lineRule="atLeast" w:line="285"/>
        <w:ind w:hanging="0" w:left="0" w:right="0"/>
        <w:rPr>
          <w:rFonts w:ascii="Arial" w:hAnsi="Arial"/>
          <w:sz w:val="20"/>
          <w:szCs w:val="20"/>
        </w:rPr>
      </w:pPr>
      <w:r>
        <w:rPr>
          <w:rFonts w:ascii="Arial" w:hAnsi="Arial" w:cstheme="minorBidi"/>
          <w:b w:val="false"/>
          <w:color w:val="000000"/>
          <w:sz w:val="20"/>
          <w:szCs w:val="20"/>
          <w:shd w:fill="auto" w:val="clear"/>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la solución de ecuaciones matemáticas</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[4]</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5. Variabilidad de Respuestas y Falta de Motivación:</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xml:space="preserve">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w:t>
      </w:r>
      <w:r>
        <w:rPr>
          <w:rFonts w:eastAsia="Open Sans" w:cs="Open Sans" w:ascii="Arial" w:hAnsi="Arial"/>
          <w:b w:val="false"/>
          <w:bCs w:val="false"/>
          <w:spacing w:val="-1"/>
          <w:sz w:val="20"/>
          <w:szCs w:val="20"/>
          <w:lang w:val="es-CO"/>
        </w:rPr>
        <w:t>[5]</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Propuesta de Innovación Didáctica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Introducir el concepto de función como base para la resolución de ecuaciones permite a los estudiantes visualizar de manera tabular y gráfica y así entender mejor las ecuaciones como igualdad de funciones o o como una pregunta por los puntos donde, las funciones que forman los lados de la ecuación, son iguales; o entender la solución de una ecuación como buscar los puntos donde la función diferencia de los lados se hace cero. El uso de representaciones tabulares y gráficas facilita la comprensión de conceptos abstractos y su aplicación práctica (Guzman, 2002).</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2x = x^{2}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f(x) = 2x - x^{2}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0"/>
          <w:szCs w:val="20"/>
          <w:highlight w:val="none"/>
          <w:shd w:fill="auto" w:val="clear"/>
        </w:rPr>
      </w:pPr>
      <w:r>
        <w:rPr>
          <w:rFonts w:eastAsia="Calibri" w:cs=""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cs="" w:cstheme="minorBid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2x = x^{2}</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569CD6"/>
          <w:sz w:val="21"/>
          <w:shd w:fill="auto" w:val="clear"/>
        </w:rPr>
        <w:t>def</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return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2</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'numeros 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'valores y o f(x)'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cs="" w:cstheme="minorBid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numeros x</w:t>
            </w:r>
          </w:p>
        </w:tc>
        <w:tc>
          <w:tcPr>
            <w:tcW w:w="4319" w:type="dxa"/>
            <w:tcBorders/>
          </w:tcPr>
          <w:p>
            <w:pPr>
              <w:pStyle w:val="Normal"/>
              <w:rPr/>
            </w:pPr>
            <w:r>
              <w:rPr/>
              <w:t>valores y o f(x)</w:t>
            </w:r>
          </w:p>
        </w:tc>
      </w:tr>
      <w:tr>
        <w:trPr/>
        <w:tc>
          <w:tcPr>
            <w:tcW w:w="4320" w:type="dxa"/>
            <w:tcBorders/>
          </w:tcPr>
          <w:p>
            <w:pPr>
              <w:pStyle w:val="Normal"/>
              <w:rPr/>
            </w:pPr>
            <w:r>
              <w:rPr/>
              <w:t>-4</w:t>
            </w:r>
          </w:p>
        </w:tc>
        <w:tc>
          <w:tcPr>
            <w:tcW w:w="4319" w:type="dxa"/>
            <w:tcBorders/>
          </w:tcPr>
          <w:p>
            <w:pPr>
              <w:pStyle w:val="Normal"/>
              <w:rPr/>
            </w:pPr>
            <w:r>
              <w:rPr/>
              <w:t>-24</w:t>
            </w:r>
          </w:p>
        </w:tc>
      </w:tr>
      <w:tr>
        <w:trPr/>
        <w:tc>
          <w:tcPr>
            <w:tcW w:w="4320" w:type="dxa"/>
            <w:tcBorders/>
          </w:tcPr>
          <w:p>
            <w:pPr>
              <w:pStyle w:val="Normal"/>
              <w:rPr/>
            </w:pPr>
            <w:r>
              <w:rPr/>
              <w:t>-3</w:t>
            </w:r>
          </w:p>
        </w:tc>
        <w:tc>
          <w:tcPr>
            <w:tcW w:w="4319" w:type="dxa"/>
            <w:tcBorders/>
          </w:tcPr>
          <w:p>
            <w:pPr>
              <w:pStyle w:val="Normal"/>
              <w:rPr/>
            </w:pPr>
            <w:r>
              <w:rPr/>
              <w:t>-15</w:t>
            </w:r>
          </w:p>
        </w:tc>
      </w:tr>
      <w:tr>
        <w:trPr/>
        <w:tc>
          <w:tcPr>
            <w:tcW w:w="4320" w:type="dxa"/>
            <w:tcBorders/>
          </w:tcPr>
          <w:p>
            <w:pPr>
              <w:pStyle w:val="Normal"/>
              <w:rPr/>
            </w:pPr>
            <w:r>
              <w:rPr/>
              <w:t>-2</w:t>
            </w:r>
          </w:p>
        </w:tc>
        <w:tc>
          <w:tcPr>
            <w:tcW w:w="4319" w:type="dxa"/>
            <w:tcBorders/>
          </w:tcPr>
          <w:p>
            <w:pPr>
              <w:pStyle w:val="Normal"/>
              <w:rPr/>
            </w:pPr>
            <w:r>
              <w:rPr/>
              <w:t>-8</w:t>
            </w:r>
          </w:p>
        </w:tc>
      </w:tr>
      <w:tr>
        <w:trPr/>
        <w:tc>
          <w:tcPr>
            <w:tcW w:w="4320" w:type="dxa"/>
            <w:tcBorders/>
          </w:tcPr>
          <w:p>
            <w:pPr>
              <w:pStyle w:val="Normal"/>
              <w:rPr/>
            </w:pPr>
            <w:r>
              <w:rPr/>
              <w:t>-1</w:t>
            </w:r>
          </w:p>
        </w:tc>
        <w:tc>
          <w:tcPr>
            <w:tcW w:w="4319" w:type="dxa"/>
            <w:tcBorders/>
          </w:tcPr>
          <w:p>
            <w:pPr>
              <w:pStyle w:val="Normal"/>
              <w:rPr/>
            </w:pPr>
            <w:r>
              <w:rPr/>
              <w:t>-3</w:t>
            </w:r>
          </w:p>
        </w:tc>
      </w:tr>
      <w:tr>
        <w:trPr/>
        <w:tc>
          <w:tcPr>
            <w:tcW w:w="4320" w:type="dxa"/>
            <w:tcBorders/>
          </w:tcPr>
          <w:p>
            <w:pPr>
              <w:pStyle w:val="Normal"/>
              <w:rPr/>
            </w:pPr>
            <w:r>
              <w:rPr/>
              <w:t>0</w:t>
            </w:r>
          </w:p>
        </w:tc>
        <w:tc>
          <w:tcPr>
            <w:tcW w:w="4319" w:type="dxa"/>
            <w:tcBorders/>
          </w:tcPr>
          <w:p>
            <w:pPr>
              <w:pStyle w:val="Normal"/>
              <w:rPr/>
            </w:pPr>
            <w:r>
              <w:rPr/>
              <w:t>0</w:t>
            </w:r>
          </w:p>
        </w:tc>
      </w:tr>
      <w:tr>
        <w:trPr/>
        <w:tc>
          <w:tcPr>
            <w:tcW w:w="4320" w:type="dxa"/>
            <w:tcBorders/>
          </w:tcPr>
          <w:p>
            <w:pPr>
              <w:pStyle w:val="Normal"/>
              <w:rPr/>
            </w:pPr>
            <w:r>
              <w:rPr/>
              <w:t>1</w:t>
            </w:r>
          </w:p>
        </w:tc>
        <w:tc>
          <w:tcPr>
            <w:tcW w:w="4319" w:type="dxa"/>
            <w:tcBorders/>
          </w:tcPr>
          <w:p>
            <w:pPr>
              <w:pStyle w:val="Normal"/>
              <w:rPr/>
            </w:pPr>
            <w:r>
              <w:rPr/>
              <w:t>1</w:t>
            </w:r>
          </w:p>
        </w:tc>
      </w:tr>
      <w:tr>
        <w:trPr/>
        <w:tc>
          <w:tcPr>
            <w:tcW w:w="4320" w:type="dxa"/>
            <w:tcBorders/>
          </w:tcPr>
          <w:p>
            <w:pPr>
              <w:pStyle w:val="Normal"/>
              <w:rPr/>
            </w:pPr>
            <w:r>
              <w:rPr/>
              <w:t>2</w:t>
            </w:r>
          </w:p>
        </w:tc>
        <w:tc>
          <w:tcPr>
            <w:tcW w:w="4319" w:type="dxa"/>
            <w:tcBorders/>
          </w:tcPr>
          <w:p>
            <w:pPr>
              <w:pStyle w:val="Normal"/>
              <w:rPr/>
            </w:pPr>
            <w:r>
              <w:rPr/>
              <w:t>0</w:t>
            </w:r>
          </w:p>
        </w:tc>
      </w:tr>
      <w:tr>
        <w:trPr/>
        <w:tc>
          <w:tcPr>
            <w:tcW w:w="4320" w:type="dxa"/>
            <w:tcBorders/>
          </w:tcPr>
          <w:p>
            <w:pPr>
              <w:pStyle w:val="Normal"/>
              <w:rPr/>
            </w:pPr>
            <w:r>
              <w:rPr/>
              <w:t>3</w:t>
            </w:r>
          </w:p>
        </w:tc>
        <w:tc>
          <w:tcPr>
            <w:tcW w:w="4319" w:type="dxa"/>
            <w:tcBorders/>
          </w:tcPr>
          <w:p>
            <w:pPr>
              <w:pStyle w:val="Normal"/>
              <w:rPr/>
            </w:pPr>
            <w:r>
              <w:rPr/>
              <w:t>-3</w:t>
            </w:r>
          </w:p>
        </w:tc>
      </w:tr>
      <w:tr>
        <w:trPr/>
        <w:tc>
          <w:tcPr>
            <w:tcW w:w="4320" w:type="dxa"/>
            <w:tcBorders/>
          </w:tcPr>
          <w:p>
            <w:pPr>
              <w:pStyle w:val="Normal"/>
              <w:rPr/>
            </w:pPr>
            <w:r>
              <w:rPr/>
              <w:t>4</w:t>
            </w:r>
          </w:p>
        </w:tc>
        <w:tc>
          <w:tcPr>
            <w:tcW w:w="4319" w:type="dxa"/>
            <w:tcBorders/>
          </w:tcPr>
          <w:p>
            <w:pPr>
              <w:pStyle w:val="Normal"/>
              <w:rPr/>
            </w:pPr>
            <w:r>
              <w:rPr/>
              <w:t>-8</w:t>
            </w:r>
          </w:p>
        </w:tc>
      </w:tr>
    </w:tbl>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Tabla 1</w:t>
      </w:r>
    </w:p>
    <w:p>
      <w:pPr>
        <w:pStyle w:val="Normal"/>
        <w:ind w:right="-1"/>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drawing>
          <wp:anchor behindDoc="0" distT="0" distB="0" distL="0" distR="0" simplePos="0" locked="0" layoutInCell="0" allowOverlap="1" relativeHeight="3">
            <wp:simplePos x="0" y="0"/>
            <wp:positionH relativeFrom="column">
              <wp:posOffset>29845</wp:posOffset>
            </wp:positionH>
            <wp:positionV relativeFrom="paragraph">
              <wp:posOffset>154305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b/>
          <w:bCs/>
        </w:rPr>
      </w:r>
    </w:p>
    <w:p>
      <w:pPr>
        <w:pStyle w:val="Normal"/>
        <w:ind w:right="-1"/>
        <w:rPr>
          <w:b w:val="false"/>
          <w:bCs w:val="false"/>
        </w:rPr>
      </w:pPr>
      <w:r>
        <w:rPr>
          <w:b w:val="false"/>
          <w:bCs w:val="false"/>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b/>
          <w:bCs/>
        </w:rPr>
      </w:pPr>
      <w:r>
        <w:rPr>
          <w:b/>
          <w:bCs/>
        </w:rPr>
      </w:r>
    </w:p>
    <w:p>
      <w:pPr>
        <w:pStyle w:val="Normal"/>
        <w:ind w:right="-1"/>
        <w:rPr>
          <w:rFonts w:ascii="Droid Sans Mono;monospace;monospace" w:hAnsi="Droid Sans Mono;monospace;monospace" w:cs="" w:cstheme="minorBidi"/>
          <w:b/>
          <w:color w:val="000000"/>
          <w:sz w:val="21"/>
          <w:highlight w:val="none"/>
          <w:shd w:fill="auto" w:val="clear"/>
        </w:rPr>
      </w:pPr>
      <w:r>
        <w:rPr>
          <w:rFonts w:eastAsia="Open Sans" w:cs="Open Sans" w:ascii="Open Sans" w:hAnsi="Open Sans"/>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Droid Sans Mono;monospace;monospace" w:hAnsi="Droid Sans Mono;monospace;monospace" w:cs="" w:cstheme="minorBidi"/>
          <w:b/>
          <w:color w:val="000000"/>
          <w:sz w:val="21"/>
          <w:highlight w:val="none"/>
          <w:shd w:fill="auto" w:val="clear"/>
        </w:rPr>
      </w:pPr>
      <w:r>
        <w:rPr>
          <w:rFonts w:eastAsia="Calibri" w:cs="" w:cstheme="minorBidi" w:eastAsiaTheme="minorHAnsi"/>
          <w:b/>
          <w:color w:val="000000"/>
          <w:sz w:val="21"/>
          <w:shd w:fill="auto" w:val="clear"/>
        </w:rPr>
        <w:t>Problema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Los estudiantes utilizan lenguaje algebraico para modelar la situación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Veamos la tres maneras de solución de este problema, modelando para luego resolver por observación: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Calibri" w:hAnsi="Calibri" w:eastAsia="Calibri" w:cs="" w:asciiTheme="minorHAnsi" w:cstheme="minorBidi" w:eastAsiaTheme="minorHAnsi" w:hAnsiTheme="minorHAnsi"/>
          <w:color w:val="000000"/>
          <w:highlight w:val="none"/>
          <w:shd w:fill="auto" w:val="clear"/>
        </w:rPr>
      </w:pPr>
      <w:r>
        <w:rPr>
          <w:rFonts w:eastAsia="Calibri" w:cs="" w:cstheme="minorBidi" w:eastAsiaTheme="minorHAnsi"/>
          <w:color w:val="000000"/>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ascii="Droid Sans Mono;monospace;monospace" w:hAnsi="Droid Sans Mono;monospace;monospace" w:cstheme="minorBidi"/>
          <w:b w:val="false"/>
          <w:color w:val="000000"/>
          <w:sz w:val="21"/>
          <w:shd w:fill="auto" w:val="clear"/>
        </w:rPr>
        <w:t xml:space="preserve">Con el siguiente código python, quiero mostrar un lenguaje legible que facilita el modelado con ecuaciones: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importación de las librerías necesarias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from</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sympy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matplotlib</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pyplot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modelación con el lenguaje legible python y ell lenguaje manipulable algebraico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var</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3</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edad_actual_hijo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modelo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Eq</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modelo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i w:val="false"/>
          <w:caps w:val="false"/>
          <w:smallCaps w:val="false"/>
          <w:color w:val="000000"/>
          <w:spacing w:val="0"/>
          <w:sz w:val="24"/>
          <w:shd w:fill="auto" w:val="clear"/>
        </w:rPr>
        <w:t>3</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+15=2</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+30  (Esta es la ecuación modelo que se obtiene con el código anterior)</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Ahora, con la siguiente línea de código python, muestro como pedir al software que resuelva con una calculadora simbólica: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i w:val="false"/>
          <w:caps w:val="false"/>
          <w:smallCaps w:val="false"/>
          <w:color w:val="DCDCAA"/>
          <w:spacing w:val="0"/>
          <w:sz w:val="24"/>
          <w:shd w:fill="auto" w:val="clear"/>
        </w:rPr>
        <w:t>solve</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9CDCFE"/>
          <w:spacing w:val="0"/>
          <w:sz w:val="24"/>
          <w:shd w:fill="auto" w:val="clear"/>
        </w:rPr>
        <w:t>modelo</w:t>
      </w:r>
      <w:r>
        <w:rPr>
          <w:rFonts w:eastAsia="Calibri" w:cs="" w:cstheme="minorBidi" w:eastAsiaTheme="minorHAnsi"/>
          <w:b w:val="false"/>
          <w:i w:val="false"/>
          <w:caps w:val="false"/>
          <w:smallCaps w:val="false"/>
          <w:color w:val="CCCCCC"/>
          <w:spacing w:val="0"/>
          <w:sz w:val="24"/>
          <w:shd w:fill="auto" w:val="clear"/>
        </w:rPr>
        <w:t xml:space="preserve">, </w:t>
      </w:r>
      <w:r>
        <w:rPr>
          <w:rFonts w:eastAsia="Calibri" w:cs="" w:cstheme="minorBidi" w:eastAsiaTheme="minorHAnsi"/>
          <w:b w:val="false"/>
          <w:i w:val="false"/>
          <w:caps w:val="false"/>
          <w:smallCaps w:val="false"/>
          <w:color w:val="9CDCFE"/>
          <w:spacing w:val="0"/>
          <w:sz w:val="24"/>
          <w:shd w:fill="auto" w:val="clear"/>
        </w:rPr>
        <w:t>edad_actual_hijo</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B5CEA8"/>
          <w:spacing w:val="0"/>
          <w:sz w:val="24"/>
          <w:shd w:fill="auto" w:val="clear"/>
        </w:rPr>
        <w:t>0</w:t>
      </w:r>
      <w:r>
        <w:rPr>
          <w:rFonts w:eastAsia="Calibri" w:cs="" w:cstheme="minorBidi" w:eastAsiaTheme="minorHAnsi"/>
          <w:b w:val="false"/>
          <w:i w:val="false"/>
          <w:caps w:val="false"/>
          <w:smallCaps w:val="false"/>
          <w:color w:val="CCCCCC"/>
          <w:spacing w:val="0"/>
          <w:sz w:val="24"/>
          <w:shd w:fill="auto" w:val="clear"/>
        </w:rPr>
        <w:t>]</w:t>
      </w:r>
    </w:p>
    <w:p>
      <w:pPr>
        <w:pStyle w:val="Normal"/>
        <w:spacing w:lineRule="atLeast" w:line="285"/>
        <w:ind w:hanging="0" w:left="0" w:right="0"/>
        <w:rPr>
          <w:rFonts w:ascii="KaTeX Main;Times New Roman;serif" w:hAnsi="KaTeX Main;Times New Roman;serif" w:cs="" w:cstheme="minorBidi"/>
          <w:b w:val="false"/>
          <w:i w:val="false"/>
          <w:i w:val="false"/>
          <w:caps w:val="false"/>
          <w:smallCaps w:val="false"/>
          <w:color w:val="000000"/>
          <w:spacing w:val="0"/>
          <w:sz w:val="24"/>
          <w:highlight w:val="none"/>
          <w:shd w:fill="auto" w:val="clear"/>
        </w:rPr>
      </w:pPr>
      <w:r>
        <w:rPr>
          <w:rFonts w:eastAsia="Calibri" w:cs="" w:cstheme="minorBidi" w:eastAsiaTheme="minorHAnsi"/>
          <w:b w:val="false"/>
          <w:i w:val="false"/>
          <w:caps w:val="false"/>
          <w:smallCaps w:val="false"/>
          <w:color w:val="000000"/>
          <w:spacing w:val="0"/>
          <w:sz w:val="24"/>
          <w:shd w:fill="auto" w:val="clear"/>
        </w:rPr>
        <w:t>15 (esta es la solución que obtenemos usando la función solve() de sympy)</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Note que la instrucción es fácil de leer: pues en ella, se le pide que resuelva, el modelo con respecto a la variable edad actual del hijo. Note que se pide la solución de manera verbal, no el lenguaje algebraico..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i w:val="false"/>
          <w:caps w:val="false"/>
          <w:smallCaps w:val="false"/>
          <w:color w:val="6A9955"/>
          <w:spacing w:val="0"/>
          <w:sz w:val="24"/>
          <w:shd w:fill="auto" w:val="clear"/>
        </w:rPr>
        <w:t># determinación de progresión geométrica de posibles edades actuales del hijo para explorar</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30</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definición de la función diferencia de las edades futuras de padre e 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lambdify</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evaluación de edades del hijo para obtener la diferencia de las edades a los quince años</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Contrucción de la representación tabular de la función diferencia de los lados de la ecuación modelo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'edades actuales posibles del 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E9178"/>
          <w:sz w:val="21"/>
          <w:shd w:fill="auto" w:val="clear"/>
        </w:rPr>
        <w:t>'valores de diferencia de edades dentro de 15 años'</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funcion_en_forma_tabular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 xml:space="preserve">funcion_en_forma_tabular  </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Heading1"/>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ascii="Calibri" w:hAnsi="Calibri" w:asciiTheme="minorHAnsi" w:cstheme="minorBidi" w:eastAsiaTheme="minorHAnsi" w:hAnsiTheme="minorHAnsi"/>
          <w:b/>
          <w:bCs/>
          <w:color w:val="000000"/>
          <w:sz w:val="21"/>
          <w:shd w:fill="auto" w:val="clear"/>
        </w:rPr>
        <w:t>Representación tabular de la función diferencia Actividad 2</w:t>
      </w:r>
    </w:p>
    <w:p>
      <w:pPr>
        <w:pStyle w:val="Normal"/>
        <w:spacing w:lineRule="atLeast" w:line="285"/>
        <w:rPr>
          <w:rFonts w:ascii="Droid Sans Mono;monospace;monospace" w:hAnsi="Droid Sans Mono;monospace;monospace" w:cs="" w:cstheme="minorBidi"/>
          <w:b/>
          <w:bCs/>
          <w:color w:val="000000"/>
          <w:sz w:val="21"/>
          <w:highlight w:val="none"/>
          <w:shd w:fill="auto" w:val="clear"/>
        </w:rPr>
      </w:pPr>
      <w:r>
        <w:rPr>
          <w:rFonts w:cs="" w:cstheme="minorBidi" w:ascii="Droid Sans Mono;monospace;monospace" w:hAnsi="Droid Sans Mono;monospace;monospace"/>
          <w:b/>
          <w:bCs/>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edades actuales posibles del hijo</w:t>
            </w:r>
          </w:p>
        </w:tc>
        <w:tc>
          <w:tcPr>
            <w:tcW w:w="4319" w:type="dxa"/>
            <w:tcBorders/>
          </w:tcPr>
          <w:p>
            <w:pPr>
              <w:pStyle w:val="Normal"/>
              <w:rPr/>
            </w:pPr>
            <w:r>
              <w:rPr/>
              <w:t>valores de diferencia de edades dentro de 15 años</w:t>
            </w:r>
          </w:p>
        </w:tc>
      </w:tr>
      <w:tr>
        <w:trPr/>
        <w:tc>
          <w:tcPr>
            <w:tcW w:w="4320" w:type="dxa"/>
            <w:tcBorders/>
          </w:tcPr>
          <w:p>
            <w:pPr>
              <w:pStyle w:val="Normal"/>
              <w:rPr/>
            </w:pPr>
            <w:r>
              <w:rPr/>
              <w:t>0</w:t>
            </w:r>
          </w:p>
        </w:tc>
        <w:tc>
          <w:tcPr>
            <w:tcW w:w="4319" w:type="dxa"/>
            <w:tcBorders/>
          </w:tcPr>
          <w:p>
            <w:pPr>
              <w:pStyle w:val="Normal"/>
              <w:rPr/>
            </w:pPr>
            <w:r>
              <w:rPr/>
              <w:t>-15</w:t>
            </w:r>
          </w:p>
        </w:tc>
      </w:tr>
      <w:tr>
        <w:trPr/>
        <w:tc>
          <w:tcPr>
            <w:tcW w:w="4320" w:type="dxa"/>
            <w:tcBorders/>
          </w:tcPr>
          <w:p>
            <w:pPr>
              <w:pStyle w:val="Normal"/>
              <w:rPr/>
            </w:pPr>
            <w:r>
              <w:rPr/>
              <w:t>3</w:t>
            </w:r>
          </w:p>
        </w:tc>
        <w:tc>
          <w:tcPr>
            <w:tcW w:w="4319" w:type="dxa"/>
            <w:tcBorders/>
          </w:tcPr>
          <w:p>
            <w:pPr>
              <w:pStyle w:val="Normal"/>
              <w:rPr/>
            </w:pPr>
            <w:r>
              <w:rPr/>
              <w:t>-12</w:t>
            </w:r>
          </w:p>
        </w:tc>
      </w:tr>
      <w:tr>
        <w:trPr/>
        <w:tc>
          <w:tcPr>
            <w:tcW w:w="4320" w:type="dxa"/>
            <w:tcBorders/>
          </w:tcPr>
          <w:p>
            <w:pPr>
              <w:pStyle w:val="Normal"/>
              <w:rPr/>
            </w:pPr>
            <w:r>
              <w:rPr/>
              <w:t>6</w:t>
            </w:r>
          </w:p>
        </w:tc>
        <w:tc>
          <w:tcPr>
            <w:tcW w:w="4319" w:type="dxa"/>
            <w:tcBorders/>
          </w:tcPr>
          <w:p>
            <w:pPr>
              <w:pStyle w:val="Normal"/>
              <w:rPr/>
            </w:pPr>
            <w:r>
              <w:rPr/>
              <w:t>-9</w:t>
            </w:r>
          </w:p>
        </w:tc>
      </w:tr>
      <w:tr>
        <w:trPr/>
        <w:tc>
          <w:tcPr>
            <w:tcW w:w="4320" w:type="dxa"/>
            <w:tcBorders/>
          </w:tcPr>
          <w:p>
            <w:pPr>
              <w:pStyle w:val="Normal"/>
              <w:rPr/>
            </w:pPr>
            <w:r>
              <w:rPr/>
              <w:t>9</w:t>
            </w:r>
          </w:p>
        </w:tc>
        <w:tc>
          <w:tcPr>
            <w:tcW w:w="4319" w:type="dxa"/>
            <w:tcBorders/>
          </w:tcPr>
          <w:p>
            <w:pPr>
              <w:pStyle w:val="Normal"/>
              <w:rPr/>
            </w:pPr>
            <w:r>
              <w:rPr/>
              <w:t>-6</w:t>
            </w:r>
          </w:p>
        </w:tc>
      </w:tr>
      <w:tr>
        <w:trPr/>
        <w:tc>
          <w:tcPr>
            <w:tcW w:w="4320" w:type="dxa"/>
            <w:tcBorders/>
          </w:tcPr>
          <w:p>
            <w:pPr>
              <w:pStyle w:val="Normal"/>
              <w:rPr/>
            </w:pPr>
            <w:r>
              <w:rPr/>
              <w:t>12</w:t>
            </w:r>
          </w:p>
        </w:tc>
        <w:tc>
          <w:tcPr>
            <w:tcW w:w="4319" w:type="dxa"/>
            <w:tcBorders/>
          </w:tcPr>
          <w:p>
            <w:pPr>
              <w:pStyle w:val="Normal"/>
              <w:rPr/>
            </w:pPr>
            <w:r>
              <w:rPr/>
              <w:t>-3</w:t>
            </w:r>
          </w:p>
        </w:tc>
      </w:tr>
      <w:tr>
        <w:trPr/>
        <w:tc>
          <w:tcPr>
            <w:tcW w:w="4320" w:type="dxa"/>
            <w:tcBorders/>
          </w:tcPr>
          <w:p>
            <w:pPr>
              <w:pStyle w:val="Normal"/>
              <w:rPr/>
            </w:pPr>
            <w:r>
              <w:rPr/>
              <w:t>15</w:t>
            </w:r>
          </w:p>
        </w:tc>
        <w:tc>
          <w:tcPr>
            <w:tcW w:w="4319" w:type="dxa"/>
            <w:tcBorders/>
          </w:tcPr>
          <w:p>
            <w:pPr>
              <w:pStyle w:val="Normal"/>
              <w:rPr/>
            </w:pPr>
            <w:r>
              <w:rPr/>
              <w:t>0</w:t>
            </w:r>
          </w:p>
        </w:tc>
      </w:tr>
      <w:tr>
        <w:trPr/>
        <w:tc>
          <w:tcPr>
            <w:tcW w:w="4320" w:type="dxa"/>
            <w:tcBorders/>
          </w:tcPr>
          <w:p>
            <w:pPr>
              <w:pStyle w:val="Normal"/>
              <w:rPr/>
            </w:pPr>
            <w:r>
              <w:rPr/>
              <w:t>18</w:t>
            </w:r>
          </w:p>
        </w:tc>
        <w:tc>
          <w:tcPr>
            <w:tcW w:w="4319" w:type="dxa"/>
            <w:tcBorders/>
          </w:tcPr>
          <w:p>
            <w:pPr>
              <w:pStyle w:val="Normal"/>
              <w:rPr/>
            </w:pPr>
            <w:r>
              <w:rPr/>
              <w:t>3</w:t>
            </w:r>
          </w:p>
        </w:tc>
      </w:tr>
      <w:tr>
        <w:trPr/>
        <w:tc>
          <w:tcPr>
            <w:tcW w:w="4320" w:type="dxa"/>
            <w:tcBorders/>
          </w:tcPr>
          <w:p>
            <w:pPr>
              <w:pStyle w:val="Normal"/>
              <w:rPr/>
            </w:pPr>
            <w:r>
              <w:rPr/>
              <w:t>21</w:t>
            </w:r>
          </w:p>
        </w:tc>
        <w:tc>
          <w:tcPr>
            <w:tcW w:w="4319" w:type="dxa"/>
            <w:tcBorders/>
          </w:tcPr>
          <w:p>
            <w:pPr>
              <w:pStyle w:val="Normal"/>
              <w:rPr/>
            </w:pPr>
            <w:r>
              <w:rPr/>
              <w:t>6</w:t>
            </w:r>
          </w:p>
        </w:tc>
      </w:tr>
      <w:tr>
        <w:trPr/>
        <w:tc>
          <w:tcPr>
            <w:tcW w:w="4320" w:type="dxa"/>
            <w:tcBorders/>
          </w:tcPr>
          <w:p>
            <w:pPr>
              <w:pStyle w:val="Normal"/>
              <w:rPr/>
            </w:pPr>
            <w:r>
              <w:rPr/>
              <w:t>24</w:t>
            </w:r>
          </w:p>
        </w:tc>
        <w:tc>
          <w:tcPr>
            <w:tcW w:w="4319" w:type="dxa"/>
            <w:tcBorders/>
          </w:tcPr>
          <w:p>
            <w:pPr>
              <w:pStyle w:val="Normal"/>
              <w:rPr/>
            </w:pPr>
            <w:r>
              <w:rPr/>
              <w:t>9</w:t>
            </w:r>
          </w:p>
        </w:tc>
      </w:tr>
      <w:tr>
        <w:trPr/>
        <w:tc>
          <w:tcPr>
            <w:tcW w:w="4320" w:type="dxa"/>
            <w:tcBorders/>
          </w:tcPr>
          <w:p>
            <w:pPr>
              <w:pStyle w:val="Normal"/>
              <w:rPr/>
            </w:pPr>
            <w:r>
              <w:rPr/>
              <w:t>27</w:t>
            </w:r>
          </w:p>
        </w:tc>
        <w:tc>
          <w:tcPr>
            <w:tcW w:w="4319" w:type="dxa"/>
            <w:tcBorders/>
          </w:tcPr>
          <w:p>
            <w:pPr>
              <w:pStyle w:val="Normal"/>
              <w:rPr/>
            </w:pPr>
            <w:r>
              <w:rPr/>
              <w:t>12</w:t>
            </w:r>
          </w:p>
        </w:tc>
      </w:tr>
      <w:tr>
        <w:trPr/>
        <w:tc>
          <w:tcPr>
            <w:tcW w:w="4320" w:type="dxa"/>
            <w:tcBorders/>
          </w:tcPr>
          <w:p>
            <w:pPr>
              <w:pStyle w:val="Normal"/>
              <w:rPr/>
            </w:pPr>
            <w:r>
              <w:rPr/>
              <w:t>30</w:t>
            </w:r>
          </w:p>
        </w:tc>
        <w:tc>
          <w:tcPr>
            <w:tcW w:w="4319" w:type="dxa"/>
            <w:tcBorders/>
          </w:tcPr>
          <w:p>
            <w:pPr>
              <w:pStyle w:val="Normal"/>
              <w:rPr/>
            </w:pPr>
            <w:r>
              <w:rPr/>
              <w:t>15</w:t>
            </w:r>
          </w:p>
        </w:tc>
      </w:tr>
    </w:tbl>
    <w:p>
      <w:pPr>
        <w:pStyle w:val="Normal"/>
        <w:spacing w:lineRule="atLeast" w:line="285"/>
        <w:ind w:hanging="0" w:left="0" w:right="0"/>
        <w:jc w:val="center"/>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Tabla 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figure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figsize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8</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6</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title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'Grafico de la función diferencia de los lados'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ylabel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'Diferencia de edades'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xlabel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'edad actual del 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plot</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'red'</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label</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'Diferencias posibles de edades dentro de quince años'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axhline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xmin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xmax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'green'</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grid</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alpha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0.4</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legend</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savefig</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'/home/marco/Documentos/docencia/calculo/referents/1_precalculo_stewart/1_fundamentos/1_5_ecuaciones/6_propuesta_presentada_congreso_humanos_XXI/3_este_articulo_en_cuaderno_jupyter/2_imagenes_de_este_articulo/figura_2.jpg'</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show</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center"/>
        <w:rPr>
          <w:b/>
          <w:bCs/>
        </w:rPr>
      </w:pPr>
      <w:r>
        <w:rPr>
          <w:rFonts w:eastAsia="Open Sans" w:cs="Open Sans" w:ascii="Open Sans" w:hAnsi="Open Sans"/>
          <w:b/>
          <w:bCs/>
          <w:sz w:val="20"/>
          <w:szCs w:val="20"/>
          <w:lang w:val="es-CO"/>
        </w:rPr>
        <w:t xml:space="preserve">Figura 2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propongo recopilar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Funciones Lineales: </w:t>
      </w:r>
      <w:r>
        <w:rPr>
          <w:rFonts w:eastAsia="Open Sans" w:cs="Open Sans" w:ascii="Open Sans" w:hAnsi="Open Sans"/>
          <w:sz w:val="20"/>
          <w:szCs w:val="20"/>
          <w:lang w:val="es-CO"/>
        </w:rPr>
        <w:t>Considere la función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Lectura de Tablas</w:t>
      </w:r>
      <w:r>
        <w:rPr>
          <w:rFonts w:eastAsia="Open Sans" w:cs="Open Sans" w:ascii="Open Sans" w:hAnsi="Open Sans"/>
          <w:sz w:val="20"/>
          <w:szCs w:val="20"/>
          <w:lang w:val="es-CO"/>
        </w:rPr>
        <w:t>: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Interpretación de Gráficas</w:t>
      </w:r>
      <w:r>
        <w:rPr>
          <w:rFonts w:eastAsia="Open Sans" w:cs="Open Sans" w:ascii="Open Sans" w:hAnsi="Open Sans"/>
          <w:sz w:val="20"/>
          <w:szCs w:val="20"/>
          <w:lang w:val="es-CO"/>
        </w:rPr>
        <w:t>: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Comparación con Expresiones Algebraicas</w:t>
      </w:r>
      <w:r>
        <w:rPr>
          <w:rFonts w:eastAsia="Open Sans" w:cs="Open Sans" w:ascii="Open Sans" w:hAnsi="Open Sans"/>
          <w:sz w:val="20"/>
          <w:szCs w:val="20"/>
          <w:lang w:val="es-CO"/>
        </w:rPr>
        <w:t>: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Forma de las Gráficas:</w:t>
      </w:r>
      <w:r>
        <w:rPr>
          <w:rFonts w:eastAsia="Open Sans" w:cs="Open Sans" w:ascii="Open Sans" w:hAnsi="Open Sans"/>
          <w:sz w:val="20"/>
          <w:szCs w:val="20"/>
          <w:lang w:val="es-CO"/>
        </w:rPr>
        <w:t xml:space="preserve">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Comportamiento Asintótico:</w:t>
      </w:r>
      <w:r>
        <w:rPr>
          <w:rFonts w:eastAsia="Open Sans" w:cs="Open Sans" w:ascii="Open Sans" w:hAnsi="Open Sans"/>
          <w:sz w:val="20"/>
          <w:szCs w:val="20"/>
          <w:lang w:val="es-CO"/>
        </w:rPr>
        <w:t xml:space="preserve"> Cómo se comportan las funciones cuando  x tiende a infinito.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Características Especiales:</w:t>
      </w:r>
      <w:r>
        <w:rPr>
          <w:rFonts w:eastAsia="Open Sans" w:cs="Open Sans" w:ascii="Open Sans" w:hAnsi="Open Sans"/>
          <w:sz w:val="20"/>
          <w:szCs w:val="20"/>
          <w:lang w:val="es-CO"/>
        </w:rPr>
        <w:t xml:space="preserve">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g(x)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f(x) y g(x)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g(x).</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x que satisfacen la ecuación f(x) =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y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REFERENCIAS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pPr>
      <w:r>
        <w:rPr>
          <w:rFonts w:eastAsia="Open Sans" w:cs="Open Sans" w:ascii="Arial" w:hAnsi="Arial"/>
          <w:b w:val="false"/>
          <w:bCs w:val="false"/>
          <w:sz w:val="20"/>
          <w:szCs w:val="20"/>
          <w:lang w:val="es-CO"/>
        </w:rPr>
        <w:t xml:space="preserve">[1]  Gasco-Txabarri, J. (2017). La resolución de problemas aritmético-algebraicos y las estrategias de aprendizaje en matemáticas. Un estudio en educación secundaria obligatoria (ESO). *Revista Latinoamericana de Investigación en Matemática Educativa, 20*(2), 167-192. Recuperado de: </w:t>
      </w:r>
      <w:hyperlink r:id="rId4">
        <w:r>
          <w:rPr>
            <w:rStyle w:val="Hyperlink"/>
            <w:rFonts w:eastAsia="Open Sans" w:cs="Open Sans" w:ascii="Arial" w:hAnsi="Arial"/>
            <w:b w:val="false"/>
            <w:bCs w:val="false"/>
            <w:sz w:val="20"/>
            <w:szCs w:val="20"/>
            <w:lang w:val="es-CO"/>
          </w:rPr>
          <w:t>https://www.redalyc.org/journal/335/33552356003/33552356003.pdf</w:t>
        </w:r>
      </w:hyperlink>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color w:val="000000"/>
          <w:sz w:val="20"/>
          <w:szCs w:val="20"/>
          <w:shd w:fill="auto" w:val="clear"/>
          <w:lang w:val="es-CO"/>
        </w:rPr>
        <w:t>[2] A. V. Maldonado Rodríguez, "Estrategia didáctica basada en la caracterización de errores para desarrollar el pensamiento variacional en la solución de ecuaciones de primer grado con una incógnita en estudiantes de grado octavo de la Institución Educativa Santa Ana de San Sebastián de Mariquita," 2018. [Online]. Available: https://repository.ut.edu.co/server/api/core/bitstreams/81fe53d7-c581-4bd4-af6e-2b3a99e6e8c0/content</w:t>
      </w:r>
    </w:p>
    <w:p>
      <w:pPr>
        <w:pStyle w:val="Normal"/>
        <w:ind w:right="-1"/>
        <w:rPr>
          <w:rFonts w:ascii="Arial" w:hAnsi="Arial" w:eastAsia="Calibri" w:cs="" w:cstheme="minorBidi" w:eastAsiaTheme="minorHAnsi"/>
          <w:color w:val="000000"/>
          <w:sz w:val="20"/>
          <w:szCs w:val="20"/>
          <w:highlight w:val="none"/>
          <w:shd w:fill="auto" w:val="clear"/>
        </w:rPr>
      </w:pPr>
      <w:r>
        <w:rPr>
          <w:rFonts w:eastAsia="Calibri" w:cs="" w:cstheme="minorBidi" w:eastAsiaTheme="minorHAnsi" w:ascii="Arial" w:hAnsi="Arial"/>
          <w:color w:val="000000"/>
          <w:sz w:val="20"/>
          <w:szCs w:val="20"/>
          <w:shd w:fill="auto" w:val="clear"/>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[3] Aguhayon, H., Tingson, R., &amp; Pentang, J. (2023). Addressing students learning gaps in mathematics through differentiated instruction. </w:t>
      </w:r>
      <w:r>
        <w:rPr>
          <w:rFonts w:eastAsia="Open Sans" w:cs="Open Sans" w:ascii="Arial" w:hAnsi="Arial"/>
          <w:b w:val="false"/>
          <w:bCs w:val="false"/>
          <w:i/>
          <w:sz w:val="20"/>
          <w:szCs w:val="20"/>
          <w:lang w:val="es-CO"/>
        </w:rPr>
        <w:t>International Journal of Educational Management and Development Studies</w:t>
      </w:r>
      <w:r>
        <w:rPr>
          <w:rFonts w:eastAsia="Open Sans" w:cs="Open Sans" w:ascii="Arial" w:hAnsi="Arial"/>
          <w:b w:val="false"/>
          <w:bCs w:val="false"/>
          <w:sz w:val="20"/>
          <w:szCs w:val="20"/>
          <w:lang w:val="es-CO"/>
        </w:rPr>
        <w:t xml:space="preserve">, </w:t>
      </w:r>
      <w:r>
        <w:rPr>
          <w:rFonts w:eastAsia="Open Sans" w:cs="Open Sans" w:ascii="Arial" w:hAnsi="Arial"/>
          <w:b w:val="false"/>
          <w:bCs w:val="false"/>
          <w:i/>
          <w:sz w:val="20"/>
          <w:szCs w:val="20"/>
          <w:lang w:val="es-CO"/>
        </w:rPr>
        <w:t>4</w:t>
      </w:r>
      <w:r>
        <w:rPr>
          <w:rFonts w:eastAsia="Open Sans" w:cs="Open Sans" w:ascii="Arial" w:hAnsi="Arial"/>
          <w:b w:val="false"/>
          <w:bCs w:val="false"/>
          <w:sz w:val="20"/>
          <w:szCs w:val="20"/>
          <w:lang w:val="es-CO"/>
        </w:rPr>
        <w:t>(1), 69-87. Available: https://papers.ssrn.com/sol3/papers.cfm?abstract_id=4390130</w:t>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[4] </w:t>
      </w:r>
      <w:r>
        <w:rPr>
          <w:rFonts w:eastAsia="Open Sans" w:cs="Open Sans" w:ascii="Arial" w:hAnsi="Arial"/>
          <w:b w:val="false"/>
          <w:bCs w:val="false"/>
          <w:i w:val="false"/>
          <w:caps w:val="false"/>
          <w:smallCaps w:val="false"/>
          <w:color w:val="222222"/>
          <w:spacing w:val="0"/>
          <w:sz w:val="20"/>
          <w:szCs w:val="20"/>
          <w:lang w:val="es-CO"/>
        </w:rPr>
        <w:t>Brousseau, G. (1986). Fundamentos y métodos de la Didáctica de la Matemática. </w:t>
      </w:r>
      <w:r>
        <w:rPr>
          <w:rFonts w:eastAsia="Open Sans" w:cs="Open Sans" w:ascii="Arial" w:hAnsi="Arial"/>
          <w:b w:val="false"/>
          <w:bCs w:val="false"/>
          <w:i/>
          <w:color w:val="222222"/>
          <w:spacing w:val="0"/>
          <w:sz w:val="20"/>
          <w:szCs w:val="20"/>
          <w:lang w:val="es-CO"/>
        </w:rPr>
        <w:t>Recherches en didactique des mathematiques</w:t>
      </w:r>
      <w:r>
        <w:rPr>
          <w:rFonts w:eastAsia="Open Sans" w:cs="Open Sans" w:ascii="Arial" w:hAnsi="Arial"/>
          <w:b w:val="false"/>
          <w:bCs w:val="false"/>
          <w:i w:val="false"/>
          <w:caps w:val="false"/>
          <w:smallCaps w:val="false"/>
          <w:color w:val="222222"/>
          <w:spacing w:val="0"/>
          <w:sz w:val="20"/>
          <w:szCs w:val="20"/>
          <w:lang w:val="es-CO"/>
        </w:rPr>
        <w:t>, </w:t>
      </w:r>
      <w:r>
        <w:rPr>
          <w:rFonts w:eastAsia="Open Sans" w:cs="Open Sans" w:ascii="Arial" w:hAnsi="Arial"/>
          <w:b w:val="false"/>
          <w:bCs w:val="false"/>
          <w:i/>
          <w:color w:val="222222"/>
          <w:spacing w:val="0"/>
          <w:sz w:val="20"/>
          <w:szCs w:val="20"/>
          <w:lang w:val="es-CO"/>
        </w:rPr>
        <w:t>7</w:t>
      </w:r>
      <w:r>
        <w:rPr>
          <w:rFonts w:eastAsia="Open Sans" w:cs="Open Sans" w:ascii="Arial" w:hAnsi="Arial"/>
          <w:b w:val="false"/>
          <w:bCs w:val="false"/>
          <w:i w:val="false"/>
          <w:caps w:val="false"/>
          <w:smallCaps w:val="false"/>
          <w:color w:val="222222"/>
          <w:spacing w:val="0"/>
          <w:sz w:val="20"/>
          <w:szCs w:val="20"/>
          <w:lang w:val="es-CO"/>
        </w:rPr>
        <w:t>(2), 33-115.</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i w:val="false"/>
          <w:caps w:val="false"/>
          <w:smallCaps w:val="false"/>
          <w:color w:val="222222"/>
          <w:spacing w:val="0"/>
          <w:sz w:val="20"/>
          <w:szCs w:val="20"/>
          <w:lang w:val="es-CO"/>
        </w:rPr>
        <w:t xml:space="preserve">[5] </w:t>
      </w:r>
      <w:r>
        <w:rPr>
          <w:rFonts w:eastAsia="Open Sans" w:cs="Open Sans" w:ascii="Arial;sans-serif" w:hAnsi="Arial;sans-serif"/>
          <w:b w:val="false"/>
          <w:bCs w:val="false"/>
          <w:i w:val="false"/>
          <w:caps w:val="false"/>
          <w:smallCaps w:val="false"/>
          <w:color w:val="222222"/>
          <w:spacing w:val="0"/>
          <w:sz w:val="20"/>
          <w:szCs w:val="20"/>
          <w:lang w:val="es-CO"/>
        </w:rPr>
        <w:t>Brousseau, G. (2007). </w:t>
      </w:r>
      <w:r>
        <w:rPr>
          <w:rFonts w:eastAsia="Open Sans" w:cs="Open Sans" w:ascii="Arial;sans-serif" w:hAnsi="Arial;sans-serif"/>
          <w:b w:val="false"/>
          <w:bCs w:val="false"/>
          <w:i/>
          <w:caps w:val="false"/>
          <w:smallCaps w:val="false"/>
          <w:color w:val="222222"/>
          <w:spacing w:val="0"/>
          <w:sz w:val="20"/>
          <w:szCs w:val="20"/>
          <w:lang w:val="es-CO"/>
        </w:rPr>
        <w:t>Iniciación al estudio de la teoría de las situaciones didácticas/Introduction to study the theory of didactic situations: didáctico/didactic to algebra study</w:t>
      </w:r>
      <w:r>
        <w:rPr>
          <w:rFonts w:eastAsia="Open Sans" w:cs="Open Sans" w:ascii="Open Sans" w:hAnsi="Open Sans"/>
          <w:b w:val="false"/>
          <w:bCs w:val="false"/>
          <w:i w:val="false"/>
          <w:caps w:val="false"/>
          <w:smallCaps w:val="false"/>
          <w:color w:val="222222"/>
          <w:spacing w:val="0"/>
          <w:sz w:val="20"/>
          <w:szCs w:val="20"/>
          <w:lang w:val="es-CO"/>
        </w:rPr>
        <w:t> </w:t>
      </w:r>
      <w:r>
        <w:rPr>
          <w:rFonts w:eastAsia="Open Sans" w:cs="Open Sans" w:ascii="Arial;sans-serif" w:hAnsi="Arial;sans-serif"/>
          <w:b w:val="false"/>
          <w:bCs w:val="false"/>
          <w:i w:val="false"/>
          <w:caps w:val="false"/>
          <w:smallCaps w:val="false"/>
          <w:color w:val="222222"/>
          <w:spacing w:val="0"/>
          <w:sz w:val="20"/>
          <w:szCs w:val="20"/>
          <w:lang w:val="es-CO"/>
        </w:rPr>
        <w:t>(Vol. 7). Libros del Zorzal.</w:t>
      </w:r>
      <w:r>
        <w:rPr>
          <w:rFonts w:eastAsia="Open Sans" w:cs="Open Sans" w:ascii="Open Sans" w:hAnsi="Open Sans"/>
          <w:b w:val="false"/>
          <w:bCs w:val="false"/>
          <w:i w:val="false"/>
          <w:caps w:val="false"/>
          <w:smallCaps w:val="false"/>
          <w:color w:val="222222"/>
          <w:spacing w:val="0"/>
          <w:sz w:val="20"/>
          <w:szCs w:val="20"/>
          <w:lang w:val="es-CO"/>
        </w:rPr>
        <w:t xml:space="preserve">  </w:t>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Borba, M. C., &amp; Villareal, M. E. (2005). </w:t>
      </w:r>
      <w:r>
        <w:rPr>
          <w:rFonts w:eastAsia="Open Sans" w:cs="Open Sans" w:ascii="Open Sans" w:hAnsi="Open Sans"/>
          <w:b w:val="false"/>
          <w:bCs w:val="false"/>
          <w:i/>
          <w:iCs/>
          <w:sz w:val="20"/>
          <w:szCs w:val="20"/>
          <w:lang w:val="es-CO"/>
        </w:rPr>
        <w:t>Humans-with-media and the reorganization of mathematical thinking: Information and communication technologies, modeling, visualization, and experimentation.</w:t>
      </w:r>
      <w:r>
        <w:rPr>
          <w:rFonts w:eastAsia="Open Sans" w:cs="Open Sans" w:ascii="Open Sans" w:hAnsi="Open Sans"/>
          <w:b w:val="false"/>
          <w:bCs w:val="false"/>
          <w:sz w:val="20"/>
          <w:szCs w:val="20"/>
          <w:lang w:val="es-CO"/>
        </w:rPr>
        <w:t xml:space="preserve"> Springer.</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Bruner, J. S. (1960). </w:t>
      </w:r>
      <w:r>
        <w:rPr>
          <w:rFonts w:eastAsia="Open Sans" w:cs="Open Sans" w:ascii="Open Sans" w:hAnsi="Open Sans"/>
          <w:b w:val="false"/>
          <w:bCs w:val="false"/>
          <w:i/>
          <w:iCs/>
          <w:sz w:val="20"/>
          <w:szCs w:val="20"/>
          <w:lang w:val="es-CO"/>
        </w:rPr>
        <w:t>The process of education</w:t>
      </w:r>
      <w:r>
        <w:rPr>
          <w:rFonts w:eastAsia="Open Sans" w:cs="Open Sans" w:ascii="Open Sans" w:hAnsi="Open Sans"/>
          <w:b w:val="false"/>
          <w:bCs w:val="false"/>
          <w:sz w:val="20"/>
          <w:szCs w:val="20"/>
          <w:lang w:val="es-CO"/>
        </w:rPr>
        <w:t>. Harvard University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Freire, P. (1970). </w:t>
      </w:r>
      <w:r>
        <w:rPr>
          <w:rFonts w:eastAsia="Open Sans" w:cs="Open Sans" w:ascii="Open Sans" w:hAnsi="Open Sans"/>
          <w:b w:val="false"/>
          <w:bCs w:val="false"/>
          <w:i/>
          <w:iCs/>
          <w:sz w:val="20"/>
          <w:szCs w:val="20"/>
          <w:lang w:val="es-CO"/>
        </w:rPr>
        <w:t>Pedagogy of the oppressed</w:t>
      </w:r>
      <w:r>
        <w:rPr>
          <w:rFonts w:eastAsia="Open Sans" w:cs="Open Sans" w:ascii="Open Sans" w:hAnsi="Open Sans"/>
          <w:b w:val="false"/>
          <w:bCs w:val="false"/>
          <w:sz w:val="20"/>
          <w:szCs w:val="20"/>
          <w:lang w:val="es-CO"/>
        </w:rPr>
        <w:t>. Continuum.</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Gabriel, F., Van Hoof, J., Gómez, D. M., &amp; Van Dooren, W. (2023). Obstacles in the development of the understanding of fractions. In </w:t>
      </w:r>
      <w:r>
        <w:rPr>
          <w:rFonts w:eastAsia="Open Sans" w:cs="Open Sans" w:ascii="Open Sans" w:hAnsi="Open Sans"/>
          <w:b w:val="false"/>
          <w:bCs w:val="false"/>
          <w:i/>
          <w:iCs/>
          <w:sz w:val="20"/>
          <w:szCs w:val="20"/>
          <w:lang w:val="es-CO"/>
        </w:rPr>
        <w:t>Mathematical cognition and understanding: Perspectives on mathematical minds in the elementary and middle school years</w:t>
      </w:r>
      <w:r>
        <w:rPr>
          <w:rFonts w:eastAsia="Open Sans" w:cs="Open Sans" w:ascii="Open Sans" w:hAnsi="Open Sans"/>
          <w:b w:val="false"/>
          <w:bCs w:val="false"/>
          <w:sz w:val="20"/>
          <w:szCs w:val="20"/>
          <w:lang w:val="es-CO"/>
        </w:rPr>
        <w:t xml:space="preserve"> (pp. 209-225). Springer International Publishing.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Guzman, M. (2002). The role of visualization in the teaching and learning of mathematical analysis. In A. Bishop et al. (Eds.), </w:t>
      </w:r>
      <w:r>
        <w:rPr>
          <w:rFonts w:eastAsia="Open Sans" w:cs="Open Sans" w:ascii="Open Sans" w:hAnsi="Open Sans"/>
          <w:b w:val="false"/>
          <w:bCs w:val="false"/>
          <w:i/>
          <w:iCs/>
          <w:sz w:val="20"/>
          <w:szCs w:val="20"/>
          <w:lang w:val="es-CO"/>
        </w:rPr>
        <w:t>Second international handbook of mathematics education</w:t>
      </w:r>
      <w:r>
        <w:rPr>
          <w:rFonts w:eastAsia="Open Sans" w:cs="Open Sans" w:ascii="Open Sans" w:hAnsi="Open Sans"/>
          <w:b w:val="false"/>
          <w:bCs w:val="false"/>
          <w:sz w:val="20"/>
          <w:szCs w:val="20"/>
          <w:lang w:val="es-CO"/>
        </w:rPr>
        <w:t xml:space="preserve"> (pp. 695-718).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Hoffman, B. (2014). </w:t>
      </w:r>
      <w:r>
        <w:rPr>
          <w:rFonts w:eastAsia="Open Sans" w:cs="Open Sans" w:ascii="Open Sans" w:hAnsi="Open Sans"/>
          <w:b w:val="false"/>
          <w:bCs w:val="false"/>
          <w:i/>
          <w:iCs/>
          <w:sz w:val="20"/>
          <w:szCs w:val="20"/>
          <w:lang w:val="es-CO"/>
        </w:rPr>
        <w:t>Teaching and learning mathematics through variation: Confucian heritage meets Western theories.</w:t>
      </w:r>
      <w:r>
        <w:rPr>
          <w:rFonts w:eastAsia="Open Sans" w:cs="Open Sans" w:ascii="Open Sans" w:hAnsi="Open Sans"/>
          <w:b w:val="false"/>
          <w:bCs w:val="false"/>
          <w:sz w:val="20"/>
          <w:szCs w:val="20"/>
          <w:lang w:val="es-CO"/>
        </w:rPr>
        <w:t xml:space="preserve">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Papert, S. (1980). </w:t>
      </w:r>
      <w:r>
        <w:rPr>
          <w:rFonts w:eastAsia="Open Sans" w:cs="Open Sans" w:ascii="Open Sans" w:hAnsi="Open Sans"/>
          <w:b w:val="false"/>
          <w:bCs w:val="false"/>
          <w:i/>
          <w:iCs/>
          <w:sz w:val="20"/>
          <w:szCs w:val="20"/>
          <w:lang w:val="es-CO"/>
        </w:rPr>
        <w:t>Mindstorms: Children, computers, and powerful ideas</w:t>
      </w:r>
      <w:r>
        <w:rPr>
          <w:rFonts w:eastAsia="Open Sans" w:cs="Open Sans" w:ascii="Open Sans" w:hAnsi="Open Sans"/>
          <w:b w:val="false"/>
          <w:bCs w:val="false"/>
          <w:sz w:val="20"/>
          <w:szCs w:val="20"/>
          <w:lang w:val="es-CO"/>
        </w:rPr>
        <w:t>. Basic Books.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Piaget, J. (1952). </w:t>
      </w:r>
      <w:r>
        <w:rPr>
          <w:rFonts w:eastAsia="Open Sans" w:cs="Open Sans" w:ascii="Open Sans" w:hAnsi="Open Sans"/>
          <w:b w:val="false"/>
          <w:bCs w:val="false"/>
          <w:i/>
          <w:iCs/>
          <w:sz w:val="20"/>
          <w:szCs w:val="20"/>
          <w:lang w:val="es-CO"/>
        </w:rPr>
        <w:t>The origins of intelligence in children</w:t>
      </w:r>
      <w:r>
        <w:rPr>
          <w:rFonts w:eastAsia="Open Sans" w:cs="Open Sans" w:ascii="Open Sans" w:hAnsi="Open Sans"/>
          <w:b w:val="false"/>
          <w:bCs w:val="false"/>
          <w:sz w:val="20"/>
          <w:szCs w:val="20"/>
          <w:lang w:val="es-CO"/>
        </w:rPr>
        <w:t>. International Universities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Project Jupyter. (n.d.). Retrieved from https://jupyter.org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Vygotsky, L. S. (1978). </w:t>
      </w:r>
      <w:r>
        <w:rPr>
          <w:rFonts w:eastAsia="Open Sans" w:cs="Open Sans" w:ascii="Open Sans" w:hAnsi="Open Sans"/>
          <w:b w:val="false"/>
          <w:bCs w:val="false"/>
          <w:i/>
          <w:iCs/>
          <w:sz w:val="20"/>
          <w:szCs w:val="20"/>
          <w:lang w:val="es-CO"/>
        </w:rPr>
        <w:t>Mind in society: The development of higher psychological processes.</w:t>
      </w:r>
      <w:r>
        <w:rPr>
          <w:rFonts w:eastAsia="Open Sans" w:cs="Open Sans" w:ascii="Open Sans" w:hAnsi="Open Sans"/>
          <w:b w:val="false"/>
          <w:bCs w:val="false"/>
          <w:sz w:val="20"/>
          <w:szCs w:val="20"/>
          <w:lang w:val="es-CO"/>
        </w:rPr>
        <w:t xml:space="preserve"> Harvard University Press.</w:t>
      </w:r>
    </w:p>
    <w:p>
      <w:pPr>
        <w:pStyle w:val="Normal"/>
        <w:ind w:right="-1"/>
        <w:rPr>
          <w:b/>
          <w:bCs/>
        </w:rPr>
      </w:pPr>
      <w:r>
        <w:rPr>
          <w:b/>
          <w:bCs/>
        </w:rPr>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Teaching Strategies to Improve Algebra Learning. (n.d.). </w:t>
      </w:r>
      <w:r>
        <w:rPr>
          <w:rFonts w:eastAsia="Open Sans" w:cs="Open Sans" w:ascii="Open Sans" w:hAnsi="Open Sans"/>
          <w:b w:val="false"/>
          <w:bCs w:val="false"/>
          <w:i/>
          <w:iCs/>
          <w:sz w:val="20"/>
          <w:szCs w:val="20"/>
          <w:lang w:val="es-CO"/>
        </w:rPr>
        <w:t>JSTOR.</w:t>
      </w:r>
      <w:r>
        <w:rPr>
          <w:rFonts w:eastAsia="Open Sans" w:cs="Open Sans" w:ascii="Open Sans" w:hAnsi="Open Sans"/>
          <w:b w:val="false"/>
          <w:bCs w:val="false"/>
          <w:sz w:val="20"/>
          <w:szCs w:val="20"/>
          <w:lang w:val="es-CO"/>
        </w:rPr>
        <w:t xml:space="preserve"> https://www.jstor.org/stable/10.3102/0013189X14551945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A Systematic Review on Algebraic Thinking in Education. (n.d.).</w:t>
      </w:r>
      <w:r>
        <w:rPr>
          <w:rFonts w:eastAsia="Open Sans" w:cs="Open Sans" w:ascii="Open Sans" w:hAnsi="Open Sans"/>
          <w:b w:val="false"/>
          <w:bCs w:val="false"/>
          <w:i/>
          <w:iCs/>
          <w:sz w:val="20"/>
          <w:szCs w:val="20"/>
          <w:lang w:val="es-CO"/>
        </w:rPr>
        <w:t xml:space="preserve"> ERIC. </w:t>
      </w:r>
      <w:r>
        <w:rPr>
          <w:rFonts w:eastAsia="Open Sans" w:cs="Open Sans" w:ascii="Open Sans" w:hAnsi="Open Sans"/>
          <w:b w:val="false"/>
          <w:bCs w:val="false"/>
          <w:sz w:val="20"/>
          <w:szCs w:val="20"/>
          <w:lang w:val="es-CO"/>
        </w:rPr>
        <w:t>https://files.eric.ed.gov/fulltext/ED590182.pdf</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Algebra Teaching and Learning. (n.d.). </w:t>
      </w:r>
      <w:r>
        <w:rPr>
          <w:rFonts w:eastAsia="Open Sans" w:cs="Open Sans" w:ascii="Open Sans" w:hAnsi="Open Sans"/>
          <w:b w:val="false"/>
          <w:bCs w:val="false"/>
          <w:i/>
          <w:iCs/>
          <w:sz w:val="20"/>
          <w:szCs w:val="20"/>
          <w:lang w:val="es-CO"/>
        </w:rPr>
        <w:t>SpringerLink.</w:t>
      </w:r>
      <w:r>
        <w:rPr>
          <w:rFonts w:eastAsia="Open Sans" w:cs="Open Sans" w:ascii="Open Sans" w:hAnsi="Open Sans"/>
          <w:b w:val="false"/>
          <w:bCs w:val="false"/>
          <w:sz w:val="20"/>
          <w:szCs w:val="20"/>
          <w:lang w:val="es-CO"/>
        </w:rPr>
        <w:t xml:space="preserve"> https://link.springer.com/book/10.1007/978-3-319-32260-5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Students’ Difficulties, Conceptions and Attitudes Towards Algebra. (n.d.). </w:t>
      </w:r>
      <w:r>
        <w:rPr>
          <w:rFonts w:eastAsia="Open Sans" w:cs="Open Sans" w:ascii="Open Sans" w:hAnsi="Open Sans"/>
          <w:b w:val="false"/>
          <w:bCs w:val="false"/>
          <w:i/>
          <w:iCs/>
          <w:sz w:val="20"/>
          <w:szCs w:val="20"/>
          <w:lang w:val="es-CO"/>
        </w:rPr>
        <w:t>Curtin University.</w:t>
      </w:r>
      <w:r>
        <w:rPr>
          <w:rFonts w:eastAsia="Open Sans" w:cs="Open Sans" w:ascii="Open Sans" w:hAnsi="Open Sans"/>
          <w:b w:val="false"/>
          <w:bCs w:val="false"/>
          <w:sz w:val="20"/>
          <w:szCs w:val="20"/>
          <w:lang w:val="es-CO"/>
        </w:rPr>
        <w:t xml:space="preserve"> https://espace.curtin.edu.au/handle/20.500.11937/29247</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Solving Equations: The Transition from Arithmetic to Algebra. (n.d.). </w:t>
      </w:r>
      <w:r>
        <w:rPr>
          <w:rFonts w:eastAsia="Open Sans" w:cs="Open Sans" w:ascii="Open Sans" w:hAnsi="Open Sans"/>
          <w:b w:val="false"/>
          <w:bCs w:val="false"/>
          <w:i/>
          <w:iCs/>
          <w:sz w:val="20"/>
          <w:szCs w:val="20"/>
          <w:lang w:val="es-CO"/>
        </w:rPr>
        <w:t>Academia.edu</w:t>
      </w:r>
      <w:r>
        <w:rPr>
          <w:rFonts w:eastAsia="Open Sans" w:cs="Open Sans" w:ascii="Open Sans" w:hAnsi="Open Sans"/>
          <w:b w:val="false"/>
          <w:bCs w:val="false"/>
          <w:sz w:val="20"/>
          <w:szCs w:val="20"/>
          <w:lang w:val="es-CO"/>
        </w:rPr>
        <w:t>. https://www.academia.edu/28698487/Solving_Equations_The_Transition_from_Arithmetic_to_Algebra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arial" w:hAnsi="arial"/>
          <w:b w:val="false"/>
          <w:bCs w:val="false"/>
          <w:i w:val="false"/>
          <w:iCs w:val="false"/>
          <w:spacing w:val="-1"/>
          <w:sz w:val="20"/>
          <w:szCs w:val="20"/>
          <w:lang w:val="es-CO"/>
        </w:rPr>
        <w:t>(Gasco-Txabarri, J. (2017). ).</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Bergmann, J., &amp; Sams, A. (2012). </w:t>
      </w:r>
      <w:r>
        <w:rPr>
          <w:rFonts w:eastAsia="Open Sans" w:cs="Open Sans" w:ascii="Open Sans" w:hAnsi="Open Sans"/>
          <w:b w:val="false"/>
          <w:bCs w:val="false"/>
          <w:i/>
          <w:iCs/>
          <w:sz w:val="20"/>
          <w:szCs w:val="20"/>
          <w:lang w:val="es-CO"/>
        </w:rPr>
        <w:t>Flip your classroom: Reach every student in every class every day</w:t>
      </w:r>
      <w:r>
        <w:rPr>
          <w:rFonts w:eastAsia="Open Sans" w:cs="Open Sans" w:ascii="Open Sans" w:hAnsi="Open Sans"/>
          <w:b w:val="false"/>
          <w:bCs w:val="false"/>
          <w:sz w:val="20"/>
          <w:szCs w:val="20"/>
          <w:lang w:val="es-CO"/>
        </w:rPr>
        <w:t>. International Society for Technology in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Croft, T., &amp; Davison, R. (2006). </w:t>
      </w:r>
      <w:r>
        <w:rPr>
          <w:rFonts w:eastAsia="Open Sans" w:cs="Open Sans" w:ascii="Open Sans" w:hAnsi="Open Sans"/>
          <w:b w:val="false"/>
          <w:bCs w:val="false"/>
          <w:i/>
          <w:iCs/>
          <w:sz w:val="20"/>
          <w:szCs w:val="20"/>
          <w:lang w:val="es-CO"/>
        </w:rPr>
        <w:t>A guide to mathematical problem solving.</w:t>
      </w:r>
      <w:r>
        <w:rPr>
          <w:rFonts w:eastAsia="Open Sans" w:cs="Open Sans" w:ascii="Open Sans" w:hAnsi="Open Sans"/>
          <w:b w:val="false"/>
          <w:bCs w:val="false"/>
          <w:sz w:val="20"/>
          <w:szCs w:val="20"/>
          <w:lang w:val="es-CO"/>
        </w:rPr>
        <w:t xml:space="preserve"> Pearson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Lage, M. J., Platt, G. J., &amp; Treglia, M. (2000). Inverting the classroom: A gateway to creating an inclusive learning environment. </w:t>
      </w:r>
      <w:r>
        <w:rPr>
          <w:rFonts w:eastAsia="Open Sans" w:cs="Open Sans" w:ascii="Open Sans" w:hAnsi="Open Sans"/>
          <w:b w:val="false"/>
          <w:bCs w:val="false"/>
          <w:i/>
          <w:iCs/>
          <w:sz w:val="20"/>
          <w:szCs w:val="20"/>
          <w:lang w:val="es-CO"/>
        </w:rPr>
        <w:t>The Journal of Economic Education, 31</w:t>
      </w:r>
      <w:r>
        <w:rPr>
          <w:rFonts w:eastAsia="Open Sans" w:cs="Open Sans" w:ascii="Open Sans" w:hAnsi="Open Sans"/>
          <w:b w:val="false"/>
          <w:bCs w:val="false"/>
          <w:sz w:val="20"/>
          <w:szCs w:val="20"/>
          <w:lang w:val="es-CO"/>
        </w:rPr>
        <w:t>(1), 30-43.</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Prince, M. (2004). Does active learning work? A review of the research. </w:t>
      </w:r>
      <w:r>
        <w:rPr>
          <w:rFonts w:eastAsia="Open Sans" w:cs="Open Sans" w:ascii="Open Sans" w:hAnsi="Open Sans"/>
          <w:b w:val="false"/>
          <w:bCs w:val="false"/>
          <w:i/>
          <w:iCs/>
          <w:sz w:val="20"/>
          <w:szCs w:val="20"/>
          <w:lang w:val="es-CO"/>
        </w:rPr>
        <w:t>Journal of Engineering Education, 93</w:t>
      </w:r>
      <w:r>
        <w:rPr>
          <w:rFonts w:eastAsia="Open Sans" w:cs="Open Sans" w:ascii="Open Sans" w:hAnsi="Open Sans"/>
          <w:b w:val="false"/>
          <w:bCs w:val="false"/>
          <w:sz w:val="20"/>
          <w:szCs w:val="20"/>
          <w:lang w:val="es-CO"/>
        </w:rPr>
        <w:t>(3), 223-231.</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Droid Sans Mono">
    <w:altName w:val="monospace"/>
    <w:charset w:val="01"/>
    <w:family w:val="roman"/>
    <w:pitch w:val="variable"/>
  </w:font>
  <w:font w:name="KaTeX Main">
    <w:altName w:val="Times New Roman"/>
    <w:charset w:val="01"/>
    <w:family w:val="roman"/>
    <w:pitch w:val="variable"/>
  </w:font>
  <w:font w:name="Arial">
    <w:altName w:val="sans-serif"/>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22"/>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20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Characters18">
    <w:name w:val="Footnote Characters18"/>
    <w:qFormat/>
    <w:rPr>
      <w:vertAlign w:val="superscript"/>
    </w:rPr>
  </w:style>
  <w:style w:type="character" w:styleId="FootnoteCharacters19">
    <w:name w:val="Footnote Characters19"/>
    <w:qFormat/>
    <w:rPr>
      <w:vertAlign w:val="superscript"/>
    </w:rPr>
  </w:style>
  <w:style w:type="character" w:styleId="FootnoteCharacters20">
    <w:name w:val="Footnote Characters20"/>
    <w:qFormat/>
    <w:rPr>
      <w:vertAlign w:val="superscript"/>
    </w:rPr>
  </w:style>
  <w:style w:type="character" w:styleId="FootnoteCharacters21">
    <w:name w:val="Footnote Characters21"/>
    <w:qFormat/>
    <w:rPr>
      <w:vertAlign w:val="superscript"/>
    </w:rPr>
  </w:style>
  <w:style w:type="character" w:styleId="FootnoteCharacters22">
    <w:name w:val="Footnote Characters22"/>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Characters17">
    <w:name w:val="Endnote Characters17"/>
    <w:qFormat/>
    <w:rPr>
      <w:vertAlign w:val="superscript"/>
    </w:rPr>
  </w:style>
  <w:style w:type="character" w:styleId="EndnoteCharacters18">
    <w:name w:val="Endnote Characters18"/>
    <w:qFormat/>
    <w:rPr>
      <w:vertAlign w:val="superscript"/>
    </w:rPr>
  </w:style>
  <w:style w:type="character" w:styleId="EndnoteCharacters19">
    <w:name w:val="Endnote Characters19"/>
    <w:qFormat/>
    <w:rPr>
      <w:vertAlign w:val="superscript"/>
    </w:rPr>
  </w:style>
  <w:style w:type="character" w:styleId="EndnoteCharacters20">
    <w:name w:val="Endnote Characters20"/>
    <w:qFormat/>
    <w:rPr>
      <w:vertAlign w:val="superscript"/>
    </w:rPr>
  </w:style>
  <w:style w:type="character" w:styleId="EndnoteCharacters21">
    <w:name w:val="Endnote Characters21"/>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redalyc.org/journal/335/33552356003/33552356003.pdf" TargetMode="Externa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1550</TotalTime>
  <Application>LibreOffice/24.2.5.2$Linux_X86_64 LibreOffice_project/d6e8b0f3fc6e8af2b00cf4969fd0d2fa45b9a62e</Application>
  <AppVersion>15.0000</AppVersion>
  <Pages>20</Pages>
  <Words>7445</Words>
  <Characters>45410</Characters>
  <CharactersWithSpaces>52963</CharactersWithSpaces>
  <Paragraphs>542</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2024-09-07T19:03:55Z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