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w:t>
      </w:r>
      <w:r>
        <w:rPr>
          <w:rFonts w:eastAsia="Open Sans" w:cs="Open Sans" w:ascii="Open Sans" w:hAnsi="Open Sans"/>
          <w:b w:val="false"/>
          <w:bCs w:val="false"/>
          <w:spacing w:val="-1"/>
          <w:sz w:val="18"/>
          <w:szCs w:val="18"/>
          <w:lang w:val="es-CO"/>
        </w:rPr>
        <w:t>[2]</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Identificar y operar con términos semejantes es un desafío para los estudiantes. Esta habilidad es crucial para simplificar ecuaciones y trabajar eficientemente con expresiones algebraicas, y su falta de dominio impide el progreso en la resolución de problemas más complejos </w:t>
      </w:r>
      <w:r>
        <w:rPr>
          <w:rFonts w:eastAsia="Open Sans" w:cs="Open Sans" w:ascii="Open Sans" w:hAnsi="Open Sans"/>
          <w:b w:val="false"/>
          <w:bCs w:val="false"/>
          <w:spacing w:val="-1"/>
          <w:sz w:val="18"/>
          <w:szCs w:val="18"/>
          <w:lang w:val="es-CO"/>
        </w:rPr>
        <w:t>[3]</w:t>
      </w: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r>
        <w:rPr>
          <w:rFonts w:eastAsia="Open Sans" w:cs="Open Sans" w:ascii="Open Sans" w:hAnsi="Open Sans"/>
          <w:b w:val="false"/>
          <w:bCs w:val="false"/>
          <w:sz w:val="20"/>
          <w:szCs w:val="20"/>
          <w:lang w:val="es-CO"/>
        </w:rPr>
        <w:t xml:space="preserve">   </w:t>
      </w:r>
    </w:p>
    <w:p>
      <w:pPr>
        <w:pStyle w:val="Normal"/>
        <w:ind w:right="-1"/>
        <w:rPr>
          <w:b/>
          <w:bCs/>
        </w:rPr>
      </w:pPr>
      <w:r>
        <w:rPr>
          <w:rFonts w:eastAsia="Open Sans" w:cs="Open Sans" w:ascii="Open Sans" w:hAnsi="Open Sans"/>
          <w:b w:val="false"/>
          <w:bCs w:val="false"/>
          <w:sz w:val="20"/>
          <w:szCs w:val="20"/>
          <w:lang w:val="es-CO"/>
        </w:rPr>
        <w:t xml:space="preserve"> </w:t>
      </w:r>
    </w:p>
    <w:p>
      <w:pPr>
        <w:pStyle w:val="Normal"/>
        <w:ind w:right="-1"/>
        <w:rPr/>
      </w:pPr>
      <w:hyperlink r:id="rId5">
        <w:r>
          <w:rPr>
            <w:rFonts w:eastAsia="Open Sans" w:cs="Open Sans" w:ascii="Open Sans" w:hAnsi="Open Sans"/>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hyperlink>
    </w:p>
    <w:p>
      <w:pPr>
        <w:pStyle w:val="Normal"/>
        <w:ind w:right="-1"/>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[3] </w:t>
      </w:r>
      <w:r>
        <w:rPr>
          <w:rFonts w:eastAsia="Open Sans" w:cs="Open Sans" w:ascii="Open Sans" w:hAnsi="Open Sans"/>
          <w:b w:val="false"/>
          <w:bCs w:val="false"/>
          <w:sz w:val="20"/>
          <w:szCs w:val="20"/>
          <w:lang w:val="es-CO"/>
        </w:rPr>
        <w:t xml:space="preserve">Aguhayon, H., Tingson, R., &amp; Pentang, J. (2023). Addressing students learning gaps in mathematics through differentiated instruction. </w:t>
      </w:r>
      <w:r>
        <w:rPr>
          <w:rFonts w:eastAsia="Open Sans" w:cs="Open Sans" w:ascii="Open Sans" w:hAnsi="Open Sans"/>
          <w:b w:val="false"/>
          <w:bCs w:val="false"/>
          <w:i/>
          <w:sz w:val="20"/>
          <w:szCs w:val="20"/>
          <w:lang w:val="es-CO"/>
        </w:rPr>
        <w:t>International Journal of Educational Management and Development Studies</w:t>
      </w:r>
      <w:r>
        <w:rPr>
          <w:rFonts w:eastAsia="Open Sans" w:cs="Open Sans" w:ascii="Open Sans" w:hAnsi="Open Sans"/>
          <w:b w:val="false"/>
          <w:bCs w:val="false"/>
          <w:sz w:val="20"/>
          <w:szCs w:val="20"/>
          <w:lang w:val="es-CO"/>
        </w:rPr>
        <w:t xml:space="preserve">, </w:t>
      </w:r>
      <w:r>
        <w:rPr>
          <w:rFonts w:eastAsia="Open Sans" w:cs="Open Sans" w:ascii="Open Sans" w:hAnsi="Open Sans"/>
          <w:b w:val="false"/>
          <w:bCs w:val="false"/>
          <w:i/>
          <w:sz w:val="20"/>
          <w:szCs w:val="20"/>
          <w:lang w:val="es-CO"/>
        </w:rPr>
        <w:t>4</w:t>
      </w:r>
      <w:r>
        <w:rPr>
          <w:rFonts w:eastAsia="Open Sans" w:cs="Open Sans" w:ascii="Open Sans" w:hAnsi="Open Sans"/>
          <w:b w:val="false"/>
          <w:bCs w:val="false"/>
          <w:sz w:val="20"/>
          <w:szCs w:val="20"/>
          <w:lang w:val="es-CO"/>
        </w:rPr>
        <w:t>(1), 69-87.</w:t>
      </w:r>
      <w:r>
        <w:rPr>
          <w:rFonts w:eastAsia="Open Sans" w:cs="Open Sans" w:ascii="Open Sans" w:hAnsi="Open Sans"/>
          <w:b w:val="false"/>
          <w:bCs w:val="false"/>
          <w:sz w:val="20"/>
          <w:szCs w:val="20"/>
          <w:lang w:val="es-CO"/>
        </w:rPr>
        <w:t xml:space="preserve"> Available: https://papers.ssrn.com/sol3/papers.cfm?abstract_id=4390130</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1516</TotalTime>
  <Application>LibreOffice/24.2.5.2$Linux_X86_64 LibreOffice_project/d6e8b0f3fc6e8af2b00cf4969fd0d2fa45b9a62e</Application>
  <AppVersion>15.0000</AppVersion>
  <Pages>20</Pages>
  <Words>7399</Words>
  <Characters>45129</Characters>
  <CharactersWithSpaces>52637</CharactersWithSpaces>
  <Paragraphs>540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2024-09-07T07:39:14Z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