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Resumen:  </w:t>
      </w:r>
    </w:p>
    <w:p>
      <w:pPr>
        <w:pStyle w:val="Normal"/>
        <w:ind w:right="-1"/>
        <w:rPr>
          <w:rFonts w:ascii="Open Sans" w:hAnsi="Open Sans" w:eastAsia="Open Sans" w:cs="Open Sans"/>
          <w:sz w:val="20"/>
          <w:szCs w:val="20"/>
          <w:lang w:val="es-CO"/>
        </w:rPr>
      </w:pPr>
      <w:r>
        <w:rPr/>
      </w:r>
    </w:p>
    <w:p>
      <w:pPr>
        <w:pStyle w:val="Normal"/>
        <w:ind w:right="-1"/>
        <w:rPr>
          <w:b w:val="false"/>
          <w:bCs w:val="false"/>
        </w:rPr>
      </w:pPr>
      <w:r>
        <w:rPr>
          <w:rFonts w:eastAsia="Open Sans" w:cs="Open Sans" w:ascii="Open Sans" w:hAnsi="Open Sans"/>
          <w:b w:val="false"/>
          <w:bCs w:val="false"/>
          <w:spacing w:val="-1"/>
          <w:sz w:val="18"/>
          <w:szCs w:val="18"/>
          <w:lang w:val="es-CO"/>
        </w:rPr>
        <w:t xml:space="preserve">Este </w:t>
      </w:r>
      <w:r>
        <w:rPr>
          <w:rFonts w:eastAsia="Open Sans" w:cs="Open Sans" w:ascii="Open Sans" w:hAnsi="Open Sans"/>
          <w:b w:val="false"/>
          <w:bCs w:val="false"/>
          <w:spacing w:val="-1"/>
          <w:sz w:val="18"/>
          <w:szCs w:val="18"/>
          <w:lang w:val="es-CO"/>
        </w:rPr>
        <w:t>artículo aborda la enseñanza de la resolución de ecuaciones a través del concepto de función, utilizando Python y cuadernos Jupyter. Propone un enfoque innovador que se aleja del razonamiento algebraico tradicional, privilegiando la observación, lectura e interpretación de representaciones tabulares y gráficas de funciones. Este enfoque busca mejorar la comprensión conceptual, la motivación de los estudiantes y su capacidad para aplicar la tecnología en el aprendizaje matemático. La implementación se basa en la visualización de funciones y la identificación de soluciones de ecuaciones mediante gráficos interactivos.</w:t>
      </w:r>
    </w:p>
    <w:p>
      <w:pPr>
        <w:pStyle w:val="Normal"/>
        <w:ind w:right="-1"/>
        <w:rPr>
          <w:b w:val="false"/>
          <w:bCs w:val="false"/>
        </w:rPr>
      </w:pPr>
      <w:r>
        <w:rPr>
          <w:b w:val="false"/>
          <w:bCs w:val="false"/>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Palabras clave en español:</w:t>
      </w:r>
    </w:p>
    <w:p>
      <w:pPr>
        <w:pStyle w:val="Normal"/>
        <w:ind w:right="-1"/>
        <w:rPr>
          <w:b w:val="false"/>
          <w:bCs w:val="false"/>
        </w:rPr>
      </w:pPr>
      <w:r>
        <w:rPr>
          <w:rFonts w:eastAsia="Open Sans" w:cs="Open Sans" w:ascii="Open Sans" w:hAnsi="Open Sans"/>
          <w:b w:val="false"/>
          <w:bCs w:val="false"/>
          <w:spacing w:val="-1"/>
          <w:sz w:val="18"/>
          <w:szCs w:val="18"/>
          <w:lang w:val="es-CO"/>
        </w:rPr>
        <w:t>Resolución de ecuaciones, funciones, Python, Jupyter Notebooks, visualización gráfica, enseñanza de matemáticas, representación tabular.</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Abstract:  </w:t>
      </w:r>
    </w:p>
    <w:p>
      <w:pPr>
        <w:pStyle w:val="Normal"/>
        <w:ind w:right="-1"/>
        <w:rPr>
          <w:rFonts w:ascii="Open Sans" w:hAnsi="Open Sans" w:eastAsia="Open Sans" w:cs="Open Sans"/>
          <w:sz w:val="20"/>
          <w:szCs w:val="20"/>
          <w:lang w:val="es-CO"/>
        </w:rPr>
      </w:pPr>
      <w:r>
        <w:rPr/>
      </w:r>
    </w:p>
    <w:p>
      <w:pPr>
        <w:pStyle w:val="Normal"/>
        <w:ind w:right="-1"/>
        <w:rPr>
          <w:b w:val="false"/>
          <w:bCs w:val="false"/>
        </w:rPr>
      </w:pPr>
      <w:r>
        <w:rPr>
          <w:rFonts w:eastAsia="Open Sans" w:cs="Open Sans" w:ascii="Open Sans" w:hAnsi="Open Sans"/>
          <w:b w:val="false"/>
          <w:bCs w:val="false"/>
          <w:spacing w:val="-1"/>
          <w:sz w:val="18"/>
          <w:szCs w:val="18"/>
          <w:lang w:val="es-CO"/>
        </w:rPr>
        <w:t>The article discusses teaching equation solving through the concept of functions, using Python and Jupyter notebooks. It proposes an innovative approach that shifts away from traditional algebraic reasoning, favoring the observation, reading, and interpretation of tabular and graphical representations of functions. This approach aims to enhance conceptual understanding, student motivation, and their ability to apply technology in mathematical learning. The implementation relies on function visualization and identifying equation solutions through interactive graphs.</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Keywords in English:  </w:t>
      </w:r>
    </w:p>
    <w:p>
      <w:pPr>
        <w:pStyle w:val="Normal"/>
        <w:ind w:right="-1"/>
        <w:rPr>
          <w:rFonts w:ascii="Open Sans" w:hAnsi="Open Sans" w:eastAsia="Open Sans" w:cs="Open Sans"/>
          <w:sz w:val="20"/>
          <w:szCs w:val="20"/>
          <w:lang w:val="es-CO"/>
        </w:rPr>
      </w:pPr>
      <w:r>
        <w:rPr/>
      </w:r>
    </w:p>
    <w:p>
      <w:pPr>
        <w:pStyle w:val="Normal"/>
        <w:ind w:right="-1"/>
        <w:rPr>
          <w:b w:val="false"/>
          <w:bCs w:val="false"/>
        </w:rPr>
      </w:pPr>
      <w:r>
        <w:rPr>
          <w:rFonts w:eastAsia="Open Sans" w:cs="Open Sans" w:ascii="Open Sans" w:hAnsi="Open Sans"/>
          <w:b w:val="false"/>
          <w:bCs w:val="false"/>
          <w:spacing w:val="-1"/>
          <w:sz w:val="18"/>
          <w:szCs w:val="18"/>
          <w:lang w:val="es-CO"/>
        </w:rPr>
        <w:t>Equation solving, functions, Python, Jupyter Notebooks, graphical visualization, mathematics teaching, tabular representation.</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 xml:space="preserve">En el Seminario en Didáctica de la Aritmética del semestre 2024-1, impartido a los estudiantes de licenciatura en matemáticas de la Universidad de Antioquia, Campus Caucasia, a un grupo de 15 estudiantes, se </w:t>
      </w:r>
      <w:r>
        <w:rPr>
          <w:rFonts w:eastAsia="Open Sans" w:cs="Open Sans" w:ascii="Open Sans" w:hAnsi="Open Sans"/>
          <w:b w:val="false"/>
          <w:bCs w:val="false"/>
          <w:spacing w:val="-1"/>
          <w:sz w:val="18"/>
          <w:szCs w:val="18"/>
          <w:lang w:val="es-CO"/>
        </w:rPr>
        <w:t>o</w:t>
      </w:r>
      <w:r>
        <w:rPr>
          <w:rFonts w:eastAsia="Open Sans" w:cs="Open Sans" w:ascii="Open Sans" w:hAnsi="Open Sans"/>
          <w:b w:val="false"/>
          <w:bCs w:val="false"/>
          <w:spacing w:val="-1"/>
          <w:sz w:val="18"/>
          <w:szCs w:val="18"/>
          <w:lang w:val="es-CO"/>
        </w:rPr>
        <w:t>bserva</w:t>
      </w:r>
      <w:r>
        <w:rPr>
          <w:rFonts w:eastAsia="Open Sans" w:cs="Open Sans" w:ascii="Open Sans" w:hAnsi="Open Sans"/>
          <w:b w:val="false"/>
          <w:bCs w:val="false"/>
          <w:spacing w:val="-1"/>
          <w:sz w:val="18"/>
          <w:szCs w:val="18"/>
          <w:lang w:val="es-CO"/>
        </w:rPr>
        <w:t>ron</w:t>
      </w:r>
      <w:r>
        <w:rPr>
          <w:rFonts w:eastAsia="Open Sans" w:cs="Open Sans" w:ascii="Open Sans" w:hAnsi="Open Sans"/>
          <w:b w:val="false"/>
          <w:bCs w:val="false"/>
          <w:spacing w:val="-1"/>
          <w:sz w:val="18"/>
          <w:szCs w:val="18"/>
          <w:lang w:val="es-CO"/>
        </w:rPr>
        <w:t xml:space="preserve">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arial" w:hAnsi="arial"/>
          <w:b/>
          <w:bCs/>
          <w:i w:val="false"/>
          <w:iCs w:val="false"/>
          <w:spacing w:val="-1"/>
          <w:sz w:val="20"/>
          <w:szCs w:val="20"/>
          <w:lang w:val="es-CO"/>
        </w:rPr>
        <w:t xml:space="preserve">Muchos estudiantes presentan serias dificultades para comprender y aplicar el razonamiento algebraico. Esto se evidencia en su </w:t>
      </w:r>
      <w:r>
        <w:rPr>
          <w:rFonts w:eastAsia="Open Sans" w:cs="Open Sans" w:ascii="arial" w:hAnsi="arial"/>
          <w:b/>
          <w:bCs/>
          <w:i w:val="false"/>
          <w:iCs w:val="false"/>
          <w:spacing w:val="-1"/>
          <w:sz w:val="20"/>
          <w:szCs w:val="20"/>
          <w:lang w:val="es-CO"/>
        </w:rPr>
        <w:t>dificultad</w:t>
      </w:r>
      <w:r>
        <w:rPr>
          <w:rFonts w:eastAsia="Open Sans" w:cs="Open Sans" w:ascii="arial" w:hAnsi="arial"/>
          <w:b/>
          <w:bCs/>
          <w:i w:val="false"/>
          <w:iCs w:val="false"/>
          <w:spacing w:val="-1"/>
          <w:sz w:val="20"/>
          <w:szCs w:val="20"/>
          <w:lang w:val="es-CO"/>
        </w:rPr>
        <w:t xml:space="preserve"> para manipular y simplificar expresiones algebraicas, resolver ecuaciones y entender las propiedades fundamentales de las operaciones algebraicas (</w:t>
      </w:r>
      <w:r>
        <w:rPr>
          <w:rFonts w:eastAsia="Open Sans" w:cs="Open Sans" w:ascii="arial" w:hAnsi="arial"/>
          <w:b/>
          <w:bCs/>
          <w:i w:val="false"/>
          <w:iCs w:val="false"/>
          <w:spacing w:val="-1"/>
          <w:sz w:val="20"/>
          <w:szCs w:val="20"/>
          <w:lang w:val="es-CO"/>
        </w:rPr>
        <w:t>Gasco-Txabarri, J. (2017). ).</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Introducir el concepto de función como base para la resolución de ecuaciones permite a los estudiantes visualizar de manera tabular y gráfica y así entender mejor las ecuaciones como igualdad de funciones o </w:t>
      </w:r>
      <w:r>
        <w:rPr>
          <w:rFonts w:eastAsia="Open Sans" w:cs="Open Sans" w:ascii="Open Sans" w:hAnsi="Open Sans"/>
          <w:b w:val="false"/>
          <w:bCs w:val="false"/>
          <w:spacing w:val="-1"/>
          <w:sz w:val="18"/>
          <w:szCs w:val="18"/>
          <w:lang w:val="es-CO"/>
        </w:rPr>
        <w:t xml:space="preserve">o como una </w:t>
      </w:r>
      <w:r>
        <w:rPr>
          <w:rFonts w:eastAsia="Open Sans" w:cs="Open Sans" w:ascii="Open Sans" w:hAnsi="Open Sans"/>
          <w:b w:val="false"/>
          <w:bCs w:val="false"/>
          <w:spacing w:val="-1"/>
          <w:sz w:val="18"/>
          <w:szCs w:val="18"/>
          <w:lang w:val="es-CO"/>
        </w:rPr>
        <w:t xml:space="preserve">pregunta por los puntos donde, las funciones que forman los lados de la ecuación, son iguales; </w:t>
      </w:r>
      <w:r>
        <w:rPr>
          <w:rFonts w:eastAsia="Open Sans" w:cs="Open Sans" w:ascii="Open Sans" w:hAnsi="Open Sans"/>
          <w:b w:val="false"/>
          <w:bCs w:val="false"/>
          <w:spacing w:val="-1"/>
          <w:sz w:val="18"/>
          <w:szCs w:val="18"/>
          <w:lang w:val="es-CO"/>
        </w:rPr>
        <w:t>o entender la solución de una ecuación como buscar los puntos donde la función diferencia de los lados se hace cero</w:t>
      </w:r>
      <w:r>
        <w:rPr>
          <w:rFonts w:eastAsia="Open Sans" w:cs="Open Sans" w:ascii="Open Sans" w:hAnsi="Open Sans"/>
          <w:b w:val="false"/>
          <w:bCs w:val="false"/>
          <w:spacing w:val="-1"/>
          <w:sz w:val="18"/>
          <w:szCs w:val="18"/>
          <w:lang w:val="es-CO"/>
        </w:rPr>
        <w:t>.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f(x) = 2x - x^{2}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drawing>
          <wp:anchor behindDoc="0" distT="0" distB="0" distL="0" distR="0" simplePos="0" locked="0" layoutInCell="0" allowOverlap="1" relativeHeight="3">
            <wp:simplePos x="0" y="0"/>
            <wp:positionH relativeFrom="column">
              <wp:posOffset>29845</wp:posOffset>
            </wp:positionH>
            <wp:positionV relativeFrom="paragraph">
              <wp:posOffset>154305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 w:cstheme="minorBidi"/>
          <w:b/>
          <w:color w:val="000000"/>
          <w:sz w:val="21"/>
          <w:highlight w:val="none"/>
          <w:shd w:fill="auto" w:val="clear"/>
        </w:rPr>
      </w:pPr>
      <w:r>
        <w:rPr>
          <w:rFonts w:eastAsia="Calibri" w:cs="" w:cstheme="minorBidi" w:eastAsiaTheme="minorHAnsi"/>
          <w:b/>
          <w:color w:val="000000"/>
          <w:sz w:val="21"/>
          <w:shd w:fill="auto" w:val="clear"/>
        </w:rPr>
        <w:t>Problema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Calibri" w:hAnsi="Calibri" w:eastAsia="Calibri" w:cs="" w:asciiTheme="minorHAnsi" w:cstheme="minorBidi" w:eastAsiaTheme="minorHAnsi" w:hAnsiTheme="minorHAnsi"/>
          <w:color w:val="000000"/>
          <w:highlight w:val="none"/>
          <w:shd w:fill="auto" w:val="clear"/>
        </w:rPr>
      </w:pPr>
      <w:r>
        <w:rPr>
          <w:rFonts w:eastAsia="Calibri" w:cs="" w:cstheme="minorBidi" w:eastAsiaTheme="minorHAnsi"/>
          <w:color w:val="000000"/>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t xml:space="preserve">Con el siguiente código python, quiero mostrar un lenguaje legible que facilita el modelado con ecuaciones: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from</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sympy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matplotlib</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pyplot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var</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3</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edad_actual_padre</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15</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modelo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Eq</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modelo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i w:val="false"/>
          <w:caps w:val="false"/>
          <w:smallCaps w:val="false"/>
          <w:color w:val="000000"/>
          <w:spacing w:val="0"/>
          <w:sz w:val="24"/>
          <w:shd w:fill="auto" w:val="clear"/>
        </w:rPr>
        <w:t>3</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+15=2</w:t>
      </w:r>
      <w:r>
        <w:rPr>
          <w:rFonts w:eastAsia="Calibri" w:cs="" w:cstheme="minorBidi" w:eastAsiaTheme="minorHAnsi"/>
          <w:b w:val="false"/>
          <w:i/>
          <w:caps w:val="false"/>
          <w:smallCaps w:val="false"/>
          <w:color w:val="000000"/>
          <w:spacing w:val="0"/>
          <w:sz w:val="24"/>
          <w:shd w:fill="auto" w:val="clear"/>
        </w:rPr>
        <w:t>x</w:t>
      </w:r>
      <w:r>
        <w:rPr>
          <w:rFonts w:eastAsia="Calibri" w:cs="" w:cstheme="minorBidi" w:eastAsiaTheme="minorHAnsi"/>
          <w:b w:val="false"/>
          <w:i w:val="false"/>
          <w:caps w:val="false"/>
          <w:smallCaps w:val="false"/>
          <w:color w:val="000000"/>
          <w:spacing w:val="0"/>
          <w:sz w:val="24"/>
          <w:shd w:fill="auto" w:val="clear"/>
        </w:rPr>
        <w:t>+30  (Esta es la ecuación modelo que se obtiene con el código anterior)</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Ahora, con la siguiente línea de código python, muestro como pedir al software que resuelva con una calculadora simbólica: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i w:val="false"/>
          <w:caps w:val="false"/>
          <w:smallCaps w:val="false"/>
          <w:color w:val="DCDCAA"/>
          <w:spacing w:val="0"/>
          <w:sz w:val="24"/>
          <w:shd w:fill="auto" w:val="clear"/>
        </w:rPr>
        <w:t>solve</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9CDCFE"/>
          <w:spacing w:val="0"/>
          <w:sz w:val="24"/>
          <w:shd w:fill="auto" w:val="clear"/>
        </w:rPr>
        <w:t>modelo</w:t>
      </w:r>
      <w:r>
        <w:rPr>
          <w:rFonts w:eastAsia="Calibri" w:cs="" w:cstheme="minorBidi" w:eastAsiaTheme="minorHAnsi"/>
          <w:b w:val="false"/>
          <w:i w:val="false"/>
          <w:caps w:val="false"/>
          <w:smallCaps w:val="false"/>
          <w:color w:val="CCCCCC"/>
          <w:spacing w:val="0"/>
          <w:sz w:val="24"/>
          <w:shd w:fill="auto" w:val="clear"/>
        </w:rPr>
        <w:t xml:space="preserve">, </w:t>
      </w:r>
      <w:r>
        <w:rPr>
          <w:rFonts w:eastAsia="Calibri" w:cs="" w:cstheme="minorBidi" w:eastAsiaTheme="minorHAnsi"/>
          <w:b w:val="false"/>
          <w:i w:val="false"/>
          <w:caps w:val="false"/>
          <w:smallCaps w:val="false"/>
          <w:color w:val="9CDCFE"/>
          <w:spacing w:val="0"/>
          <w:sz w:val="24"/>
          <w:shd w:fill="auto" w:val="clear"/>
        </w:rPr>
        <w:t>edad_actual_hijo</w:t>
      </w:r>
      <w:r>
        <w:rPr>
          <w:rFonts w:eastAsia="Calibri" w:cs="" w:cstheme="minorBidi" w:eastAsiaTheme="minorHAnsi"/>
          <w:b w:val="false"/>
          <w:i w:val="false"/>
          <w:caps w:val="false"/>
          <w:smallCaps w:val="false"/>
          <w:color w:val="CCCCCC"/>
          <w:spacing w:val="0"/>
          <w:sz w:val="24"/>
          <w:shd w:fill="auto" w:val="clear"/>
        </w:rPr>
        <w:t>)[</w:t>
      </w:r>
      <w:r>
        <w:rPr>
          <w:rFonts w:eastAsia="Calibri" w:cs="" w:cstheme="minorBidi" w:eastAsiaTheme="minorHAnsi"/>
          <w:b w:val="false"/>
          <w:i w:val="false"/>
          <w:caps w:val="false"/>
          <w:smallCaps w:val="false"/>
          <w:color w:val="B5CEA8"/>
          <w:spacing w:val="0"/>
          <w:sz w:val="24"/>
          <w:shd w:fill="auto" w:val="clear"/>
        </w:rPr>
        <w:t>0</w:t>
      </w:r>
      <w:r>
        <w:rPr>
          <w:rFonts w:eastAsia="Calibri" w:cs="" w:cstheme="minorBidi" w:eastAsiaTheme="minorHAnsi"/>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 w:cstheme="minorBidi"/>
          <w:b w:val="false"/>
          <w:i w:val="false"/>
          <w:i w:val="false"/>
          <w:caps w:val="false"/>
          <w:smallCaps w:val="false"/>
          <w:color w:val="000000"/>
          <w:spacing w:val="0"/>
          <w:sz w:val="24"/>
          <w:highlight w:val="none"/>
          <w:shd w:fill="auto" w:val="clear"/>
        </w:rPr>
      </w:pPr>
      <w:r>
        <w:rPr>
          <w:rFonts w:eastAsia="Calibri" w:cs="" w:cstheme="minorBidi" w:eastAsiaTheme="minorHAnsi"/>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t xml:space="preserve">Note que la instrucción es fácil de leer: pues en ella, se le pide que resuelva, el modelo con respecto a la variable edad actual del hijo. Note que se pide la solución de manera verbal, no el lenguaje algebraico.. </w:t>
      </w:r>
    </w:p>
    <w:p>
      <w:pPr>
        <w:pStyle w:val="Normal"/>
        <w:spacing w:lineRule="atLeast" w:line="285"/>
        <w:ind w:hanging="0" w:left="0" w:right="0"/>
        <w:rPr>
          <w:rFonts w:ascii="KaTeX Main;Times New Roman;serif" w:hAnsi="KaTeX Main;Times New Roman;serif"/>
          <w:i w:val="false"/>
          <w:i w:val="false"/>
          <w:caps w:val="false"/>
          <w:smallCaps w:val="false"/>
          <w:spacing w:val="0"/>
          <w:sz w:val="24"/>
        </w:rPr>
      </w:pPr>
      <w:r>
        <w:rPr>
          <w:rFonts w:ascii="KaTeX Main;Times New Roman;serif" w:hAnsi="KaTeX Main;Times New Roman;serif"/>
          <w:i w:val="false"/>
          <w:caps w:val="false"/>
          <w:smallCaps w:val="false"/>
          <w:spacing w:val="0"/>
          <w:sz w:val="24"/>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30</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lambdify</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edad_actual_hijo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edad_padre_qunce_años_despues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edad_hijo_quince_años_despues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lam_funcion_diferencia</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'edades actuales posibles del 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E9178"/>
          <w:sz w:val="21"/>
          <w:shd w:fill="auto" w:val="clear"/>
        </w:rPr>
        <w:t>'valores de diferencia de edades dentro de 15 años'</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funcion_en_forma_tabular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diccionario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eastAsia="Calibri" w:cs="" w:cstheme="minorBidi" w:eastAsiaTheme="minorHAnsi"/>
          <w:b w:val="false"/>
          <w:color w:val="9CDCFE"/>
          <w:sz w:val="21"/>
          <w:shd w:fill="auto" w:val="clear"/>
        </w:rPr>
        <w:t xml:space="preserve">funcion_en_forma_tabular  </w:t>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Normal"/>
        <w:spacing w:lineRule="atLeast" w:line="285"/>
        <w:ind w:hanging="0" w:left="0" w:right="0"/>
        <w:rPr>
          <w:rFonts w:ascii="Droid Sans Mono;monospace;monospace" w:hAnsi="Droid Sans Mono;monospace;monospace" w:cs="" w:cstheme="minorBidi"/>
          <w:b w:val="false"/>
          <w:color w:val="9CDCFE"/>
          <w:sz w:val="21"/>
          <w:highlight w:val="none"/>
          <w:shd w:fill="auto" w:val="clear"/>
        </w:rPr>
      </w:pPr>
      <w:r>
        <w:rPr>
          <w:rFonts w:cs="" w:cstheme="minorBidi" w:ascii="Droid Sans Mono;monospace;monospace" w:hAnsi="Droid Sans Mono;monospace;monospace"/>
          <w:b w:val="false"/>
          <w:color w:val="9CDCFE"/>
          <w:sz w:val="21"/>
          <w:shd w:fill="auto" w:val="clear"/>
        </w:rPr>
      </w:r>
    </w:p>
    <w:p>
      <w:pPr>
        <w:pStyle w:val="Heading1"/>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ascii="Calibri" w:hAnsi="Calibri" w:asciiTheme="minorHAnsi" w:cstheme="minorBidi" w:eastAsiaTheme="minorHAnsi" w:hAnsiTheme="minorHAnsi"/>
          <w:b/>
          <w:bCs/>
          <w:color w:val="000000"/>
          <w:sz w:val="21"/>
          <w:shd w:fill="auto" w:val="clear"/>
        </w:rPr>
        <w:t>Representación tabular de la función diferencia Actividad 2</w:t>
      </w:r>
    </w:p>
    <w:p>
      <w:pPr>
        <w:pStyle w:val="Normal"/>
        <w:spacing w:lineRule="atLeast" w:line="285"/>
        <w:rPr>
          <w:rFonts w:ascii="Droid Sans Mono;monospace;monospace" w:hAnsi="Droid Sans Mono;monospace;monospace" w:cs="" w:cstheme="minorBidi"/>
          <w:b/>
          <w:bCs/>
          <w:color w:val="000000"/>
          <w:sz w:val="21"/>
          <w:highlight w:val="none"/>
          <w:shd w:fill="auto" w:val="clear"/>
        </w:rPr>
      </w:pPr>
      <w:r>
        <w:rPr>
          <w:rFonts w:cs="" w:cstheme="minorBidi" w:ascii="Droid Sans Mono;monospace;monospace" w:hAnsi="Droid Sans Mono;monospace;monospace"/>
          <w:b/>
          <w:bCs/>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edades actuales posibles del hijo</w:t>
            </w:r>
          </w:p>
        </w:tc>
        <w:tc>
          <w:tcPr>
            <w:tcW w:w="4319" w:type="dxa"/>
            <w:tcBorders/>
          </w:tcPr>
          <w:p>
            <w:pPr>
              <w:pStyle w:val="Normal"/>
              <w:rPr/>
            </w:pPr>
            <w:r>
              <w:rPr/>
              <w:t>valores de diferencia de edades dentro de 15 años</w:t>
            </w:r>
          </w:p>
        </w:tc>
      </w:tr>
      <w:tr>
        <w:trPr/>
        <w:tc>
          <w:tcPr>
            <w:tcW w:w="4320" w:type="dxa"/>
            <w:tcBorders/>
          </w:tcPr>
          <w:p>
            <w:pPr>
              <w:pStyle w:val="Normal"/>
              <w:rPr/>
            </w:pPr>
            <w:r>
              <w:rPr/>
              <w:t>0</w:t>
            </w:r>
          </w:p>
        </w:tc>
        <w:tc>
          <w:tcPr>
            <w:tcW w:w="4319" w:type="dxa"/>
            <w:tcBorders/>
          </w:tcPr>
          <w:p>
            <w:pPr>
              <w:pStyle w:val="Normal"/>
              <w:rPr/>
            </w:pPr>
            <w:r>
              <w:rPr/>
              <w:t>-15</w:t>
            </w:r>
          </w:p>
        </w:tc>
      </w:tr>
      <w:tr>
        <w:trPr/>
        <w:tc>
          <w:tcPr>
            <w:tcW w:w="4320" w:type="dxa"/>
            <w:tcBorders/>
          </w:tcPr>
          <w:p>
            <w:pPr>
              <w:pStyle w:val="Normal"/>
              <w:rPr/>
            </w:pPr>
            <w:r>
              <w:rPr/>
              <w:t>3</w:t>
            </w:r>
          </w:p>
        </w:tc>
        <w:tc>
          <w:tcPr>
            <w:tcW w:w="4319" w:type="dxa"/>
            <w:tcBorders/>
          </w:tcPr>
          <w:p>
            <w:pPr>
              <w:pStyle w:val="Normal"/>
              <w:rPr/>
            </w:pPr>
            <w:r>
              <w:rPr/>
              <w:t>-12</w:t>
            </w:r>
          </w:p>
        </w:tc>
      </w:tr>
      <w:tr>
        <w:trPr/>
        <w:tc>
          <w:tcPr>
            <w:tcW w:w="4320" w:type="dxa"/>
            <w:tcBorders/>
          </w:tcPr>
          <w:p>
            <w:pPr>
              <w:pStyle w:val="Normal"/>
              <w:rPr/>
            </w:pPr>
            <w:r>
              <w:rPr/>
              <w:t>6</w:t>
            </w:r>
          </w:p>
        </w:tc>
        <w:tc>
          <w:tcPr>
            <w:tcW w:w="4319" w:type="dxa"/>
            <w:tcBorders/>
          </w:tcPr>
          <w:p>
            <w:pPr>
              <w:pStyle w:val="Normal"/>
              <w:rPr/>
            </w:pPr>
            <w:r>
              <w:rPr/>
              <w:t>-9</w:t>
            </w:r>
          </w:p>
        </w:tc>
      </w:tr>
      <w:tr>
        <w:trPr/>
        <w:tc>
          <w:tcPr>
            <w:tcW w:w="4320" w:type="dxa"/>
            <w:tcBorders/>
          </w:tcPr>
          <w:p>
            <w:pPr>
              <w:pStyle w:val="Normal"/>
              <w:rPr/>
            </w:pPr>
            <w:r>
              <w:rPr/>
              <w:t>9</w:t>
            </w:r>
          </w:p>
        </w:tc>
        <w:tc>
          <w:tcPr>
            <w:tcW w:w="4319" w:type="dxa"/>
            <w:tcBorders/>
          </w:tcPr>
          <w:p>
            <w:pPr>
              <w:pStyle w:val="Normal"/>
              <w:rPr/>
            </w:pPr>
            <w:r>
              <w:rPr/>
              <w:t>-6</w:t>
            </w:r>
          </w:p>
        </w:tc>
      </w:tr>
      <w:tr>
        <w:trPr/>
        <w:tc>
          <w:tcPr>
            <w:tcW w:w="4320" w:type="dxa"/>
            <w:tcBorders/>
          </w:tcPr>
          <w:p>
            <w:pPr>
              <w:pStyle w:val="Normal"/>
              <w:rPr/>
            </w:pPr>
            <w:r>
              <w:rPr/>
              <w:t>12</w:t>
            </w:r>
          </w:p>
        </w:tc>
        <w:tc>
          <w:tcPr>
            <w:tcW w:w="4319" w:type="dxa"/>
            <w:tcBorders/>
          </w:tcPr>
          <w:p>
            <w:pPr>
              <w:pStyle w:val="Normal"/>
              <w:rPr/>
            </w:pPr>
            <w:r>
              <w:rPr/>
              <w:t>-3</w:t>
            </w:r>
          </w:p>
        </w:tc>
      </w:tr>
      <w:tr>
        <w:trPr/>
        <w:tc>
          <w:tcPr>
            <w:tcW w:w="4320" w:type="dxa"/>
            <w:tcBorders/>
          </w:tcPr>
          <w:p>
            <w:pPr>
              <w:pStyle w:val="Normal"/>
              <w:rPr/>
            </w:pPr>
            <w:r>
              <w:rPr/>
              <w:t>15</w:t>
            </w:r>
          </w:p>
        </w:tc>
        <w:tc>
          <w:tcPr>
            <w:tcW w:w="4319" w:type="dxa"/>
            <w:tcBorders/>
          </w:tcPr>
          <w:p>
            <w:pPr>
              <w:pStyle w:val="Normal"/>
              <w:rPr/>
            </w:pPr>
            <w:r>
              <w:rPr/>
              <w:t>0</w:t>
            </w:r>
          </w:p>
        </w:tc>
      </w:tr>
      <w:tr>
        <w:trPr/>
        <w:tc>
          <w:tcPr>
            <w:tcW w:w="4320" w:type="dxa"/>
            <w:tcBorders/>
          </w:tcPr>
          <w:p>
            <w:pPr>
              <w:pStyle w:val="Normal"/>
              <w:rPr/>
            </w:pPr>
            <w:r>
              <w:rPr/>
              <w:t>18</w:t>
            </w:r>
          </w:p>
        </w:tc>
        <w:tc>
          <w:tcPr>
            <w:tcW w:w="4319" w:type="dxa"/>
            <w:tcBorders/>
          </w:tcPr>
          <w:p>
            <w:pPr>
              <w:pStyle w:val="Normal"/>
              <w:rPr/>
            </w:pPr>
            <w:r>
              <w:rPr/>
              <w:t>3</w:t>
            </w:r>
          </w:p>
        </w:tc>
      </w:tr>
      <w:tr>
        <w:trPr/>
        <w:tc>
          <w:tcPr>
            <w:tcW w:w="4320" w:type="dxa"/>
            <w:tcBorders/>
          </w:tcPr>
          <w:p>
            <w:pPr>
              <w:pStyle w:val="Normal"/>
              <w:rPr/>
            </w:pPr>
            <w:r>
              <w:rPr/>
              <w:t>21</w:t>
            </w:r>
          </w:p>
        </w:tc>
        <w:tc>
          <w:tcPr>
            <w:tcW w:w="4319" w:type="dxa"/>
            <w:tcBorders/>
          </w:tcPr>
          <w:p>
            <w:pPr>
              <w:pStyle w:val="Normal"/>
              <w:rPr/>
            </w:pPr>
            <w:r>
              <w:rPr/>
              <w:t>6</w:t>
            </w:r>
          </w:p>
        </w:tc>
      </w:tr>
      <w:tr>
        <w:trPr/>
        <w:tc>
          <w:tcPr>
            <w:tcW w:w="4320" w:type="dxa"/>
            <w:tcBorders/>
          </w:tcPr>
          <w:p>
            <w:pPr>
              <w:pStyle w:val="Normal"/>
              <w:rPr/>
            </w:pPr>
            <w:r>
              <w:rPr/>
              <w:t>24</w:t>
            </w:r>
          </w:p>
        </w:tc>
        <w:tc>
          <w:tcPr>
            <w:tcW w:w="4319" w:type="dxa"/>
            <w:tcBorders/>
          </w:tcPr>
          <w:p>
            <w:pPr>
              <w:pStyle w:val="Normal"/>
              <w:rPr/>
            </w:pPr>
            <w:r>
              <w:rPr/>
              <w:t>9</w:t>
            </w:r>
          </w:p>
        </w:tc>
      </w:tr>
      <w:tr>
        <w:trPr/>
        <w:tc>
          <w:tcPr>
            <w:tcW w:w="4320" w:type="dxa"/>
            <w:tcBorders/>
          </w:tcPr>
          <w:p>
            <w:pPr>
              <w:pStyle w:val="Normal"/>
              <w:rPr/>
            </w:pPr>
            <w:r>
              <w:rPr/>
              <w:t>27</w:t>
            </w:r>
          </w:p>
        </w:tc>
        <w:tc>
          <w:tcPr>
            <w:tcW w:w="4319" w:type="dxa"/>
            <w:tcBorders/>
          </w:tcPr>
          <w:p>
            <w:pPr>
              <w:pStyle w:val="Normal"/>
              <w:rPr/>
            </w:pPr>
            <w:r>
              <w:rPr/>
              <w:t>12</w:t>
            </w:r>
          </w:p>
        </w:tc>
      </w:tr>
      <w:tr>
        <w:trPr/>
        <w:tc>
          <w:tcPr>
            <w:tcW w:w="4320" w:type="dxa"/>
            <w:tcBorders/>
          </w:tcPr>
          <w:p>
            <w:pPr>
              <w:pStyle w:val="Normal"/>
              <w:rPr/>
            </w:pPr>
            <w:r>
              <w:rPr/>
              <w:t>30</w:t>
            </w:r>
          </w:p>
        </w:tc>
        <w:tc>
          <w:tcPr>
            <w:tcW w:w="4319" w:type="dxa"/>
            <w:tcBorders/>
          </w:tcPr>
          <w:p>
            <w:pPr>
              <w:pStyle w:val="Normal"/>
              <w:rPr/>
            </w:pPr>
            <w:r>
              <w:rPr/>
              <w:t>15</w:t>
            </w:r>
          </w:p>
        </w:tc>
      </w:tr>
    </w:tbl>
    <w:p>
      <w:pPr>
        <w:pStyle w:val="Normal"/>
        <w:spacing w:lineRule="atLeast" w:line="285"/>
        <w:ind w:hanging="0" w:left="0" w:right="0"/>
        <w:jc w:val="center"/>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Tabla 2</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figure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figsize</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8</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6</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title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'Grafico de la función diferencia de los lados'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ylabel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'Diferencia de edades'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xlabel</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'edad actual del hijo'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plot</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edades_actuales_posibles_del_hijo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diferencia_de_edades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'red'</w:t>
      </w:r>
      <w:r>
        <w:rPr>
          <w:rFonts w:eastAsia="Calibri" w:cs="" w:cstheme="minorBidi" w:eastAsiaTheme="minorHAnsi"/>
          <w:b w:val="false"/>
          <w:color w:val="CCCCCC"/>
          <w:sz w:val="21"/>
          <w:shd w:fill="auto" w:val="clear"/>
        </w:rPr>
        <w:t>,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label</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'Diferencias posibles de edades dentro de quince años'</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axhline</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xmin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xmax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b</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color</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'green'</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grid</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alpha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0.4</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legend</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savefig</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4EC9B0"/>
          <w:sz w:val="21"/>
          <w:shd w:fill="auto" w:val="clear"/>
        </w:rPr>
        <w:t>plt</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show</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Para evaluar la efectividad de la metodología implementada, se </w:t>
      </w:r>
      <w:r>
        <w:rPr>
          <w:rFonts w:eastAsia="Open Sans" w:cs="Open Sans" w:ascii="Open Sans" w:hAnsi="Open Sans"/>
          <w:sz w:val="20"/>
          <w:szCs w:val="20"/>
          <w:lang w:val="es-CO"/>
        </w:rPr>
        <w:t>propongo recopilar</w:t>
      </w:r>
      <w:r>
        <w:rPr>
          <w:rFonts w:eastAsia="Open Sans" w:cs="Open Sans" w:ascii="Open Sans" w:hAnsi="Open Sans"/>
          <w:sz w:val="20"/>
          <w:szCs w:val="20"/>
          <w:lang w:val="es-CO"/>
        </w:rPr>
        <w:t xml:space="preserve">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y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
    </w:p>
    <w:p>
      <w:pPr>
        <w:pStyle w:val="Normal"/>
        <w:ind w:right="-1"/>
        <w:rPr>
          <w:b/>
          <w:bCs/>
        </w:rPr>
      </w:pPr>
      <w:r>
        <w:rPr>
          <w:rFonts w:eastAsia="Open Sans" w:cs="Open Sans" w:ascii="Open Sans" w:hAnsi="Open Sans"/>
          <w:b/>
          <w:bCs/>
          <w:sz w:val="20"/>
          <w:szCs w:val="20"/>
          <w:lang w:val="es-CO"/>
        </w:rPr>
        <w:t>Bibliografía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Artículos y documentos en línea:</w:t>
      </w:r>
    </w:p>
    <w:p>
      <w:pPr>
        <w:pStyle w:val="Normal"/>
        <w:ind w:right="-1"/>
        <w:rPr>
          <w:b/>
          <w:bCs/>
        </w:rPr>
      </w:pPr>
      <w:r>
        <w:rPr>
          <w:rFonts w:eastAsia="Open Sans" w:cs="Open Sans" w:ascii="Open Sans" w:hAnsi="Open Sans"/>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xml:space="preserve"> Springer.</w:t>
      </w:r>
    </w:p>
    <w:p>
      <w:pPr>
        <w:pStyle w:val="Normal"/>
        <w:ind w:right="-1"/>
        <w:rPr>
          <w:b/>
          <w:bCs/>
        </w:rPr>
      </w:pPr>
      <w:r>
        <w:rPr>
          <w:rFonts w:eastAsia="Open Sans" w:cs="Open Sans" w:ascii="Open Sans" w:hAnsi="Open Sans"/>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Guzman, M. (2002). The role of visualization in the teaching and learning of mathematical analysis. In A. Bishop et al. (Eds.), </w:t>
      </w:r>
      <w:r>
        <w:rPr>
          <w:rFonts w:eastAsia="Open Sans" w:cs="Open Sans" w:ascii="Open Sans" w:hAnsi="Open Sans"/>
          <w:b w:val="false"/>
          <w:bCs w:val="false"/>
          <w:i/>
          <w:iCs/>
          <w:sz w:val="20"/>
          <w:szCs w:val="20"/>
          <w:lang w:val="es-CO"/>
        </w:rPr>
        <w:t>Second international handbook of mathematics education</w:t>
      </w:r>
      <w:r>
        <w:rPr>
          <w:rFonts w:eastAsia="Open Sans" w:cs="Open Sans" w:ascii="Open Sans" w:hAnsi="Open Sans"/>
          <w:b w:val="false"/>
          <w:bCs w:val="false"/>
          <w:sz w:val="20"/>
          <w:szCs w:val="20"/>
          <w:lang w:val="es-CO"/>
        </w:rPr>
        <w:t xml:space="preserve"> (pp. 695-718).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Hoffman, B. (2014). </w:t>
      </w:r>
      <w:r>
        <w:rPr>
          <w:rFonts w:eastAsia="Open Sans" w:cs="Open Sans" w:ascii="Open Sans" w:hAnsi="Open Sans"/>
          <w:b w:val="false"/>
          <w:bCs w:val="false"/>
          <w:i/>
          <w:iCs/>
          <w:sz w:val="20"/>
          <w:szCs w:val="20"/>
          <w:lang w:val="es-CO"/>
        </w:rPr>
        <w:t>Teaching and learning mathematics through variation: Confucian heritage meets Western theories.</w:t>
      </w:r>
      <w:r>
        <w:rPr>
          <w:rFonts w:eastAsia="Open Sans" w:cs="Open Sans" w:ascii="Open Sans" w:hAnsi="Open Sans"/>
          <w:b w:val="false"/>
          <w:bCs w:val="false"/>
          <w:sz w:val="20"/>
          <w:szCs w:val="20"/>
          <w:lang w:val="es-CO"/>
        </w:rPr>
        <w:t xml:space="preserve"> Springer.</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Papert, S. (1980). </w:t>
      </w:r>
      <w:r>
        <w:rPr>
          <w:rFonts w:eastAsia="Open Sans" w:cs="Open Sans" w:ascii="Open Sans" w:hAnsi="Open Sans"/>
          <w:b w:val="false"/>
          <w:bCs w:val="false"/>
          <w:i/>
          <w:iCs/>
          <w:sz w:val="20"/>
          <w:szCs w:val="20"/>
          <w:lang w:val="es-CO"/>
        </w:rPr>
        <w:t>Mindstorms: Children, computers, and powerful ideas</w:t>
      </w:r>
      <w:r>
        <w:rPr>
          <w:rFonts w:eastAsia="Open Sans" w:cs="Open Sans" w:ascii="Open Sans" w:hAnsi="Open Sans"/>
          <w:b w:val="false"/>
          <w:bCs w:val="false"/>
          <w:sz w:val="20"/>
          <w:szCs w:val="20"/>
          <w:lang w:val="es-CO"/>
        </w:rPr>
        <w:t>. Basic Books.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Piaget, J. (1952). </w:t>
      </w:r>
      <w:r>
        <w:rPr>
          <w:rFonts w:eastAsia="Open Sans" w:cs="Open Sans" w:ascii="Open Sans" w:hAnsi="Open Sans"/>
          <w:b w:val="false"/>
          <w:bCs w:val="false"/>
          <w:i/>
          <w:iCs/>
          <w:sz w:val="20"/>
          <w:szCs w:val="20"/>
          <w:lang w:val="es-CO"/>
        </w:rPr>
        <w:t>The origins of intelligence in children</w:t>
      </w:r>
      <w:r>
        <w:rPr>
          <w:rFonts w:eastAsia="Open Sans" w:cs="Open Sans" w:ascii="Open Sans" w:hAnsi="Open Sans"/>
          <w:b w:val="false"/>
          <w:bCs w:val="false"/>
          <w:sz w:val="20"/>
          <w:szCs w:val="20"/>
          <w:lang w:val="es-CO"/>
        </w:rPr>
        <w:t>. International Universities Press.</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Project Jupyter. (n.d.). Retrieved from https://jupyter.org</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Tall, D. (2004). Thinking through three worlds of mathematics. In M. J. Hoines &amp; A. B. Fuglestad (Eds.), </w:t>
      </w:r>
      <w:r>
        <w:rPr>
          <w:rFonts w:eastAsia="Open Sans" w:cs="Open Sans" w:ascii="Open Sans" w:hAnsi="Open Sans"/>
          <w:b w:val="false"/>
          <w:bCs w:val="false"/>
          <w:i/>
          <w:iCs/>
          <w:sz w:val="20"/>
          <w:szCs w:val="20"/>
          <w:lang w:val="es-CO"/>
        </w:rPr>
        <w:t>Proceedings of the 28th conference of the International Group for the Psychology of Mathematics Education</w:t>
      </w:r>
      <w:r>
        <w:rPr>
          <w:rFonts w:eastAsia="Open Sans" w:cs="Open Sans" w:ascii="Open Sans" w:hAnsi="Open Sans"/>
          <w:b w:val="false"/>
          <w:bCs w:val="false"/>
          <w:sz w:val="20"/>
          <w:szCs w:val="20"/>
          <w:lang w:val="es-CO"/>
        </w:rPr>
        <w:t xml:space="preserve"> (pp. 281-288).</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bCs/>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Artículos en línea con URL:</w:t>
      </w:r>
    </w:p>
    <w:p>
      <w:pPr>
        <w:pStyle w:val="Normal"/>
        <w:ind w:right="-1"/>
        <w:rPr>
          <w:b/>
          <w:bCs/>
        </w:rPr>
      </w:pPr>
      <w:r>
        <w:rPr>
          <w:rFonts w:eastAsia="Open Sans" w:cs="Open Sans" w:ascii="Open Sans" w:hAnsi="Open Sans"/>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Teaching Strategies to Improve Algebra Learning. (n.d.). </w:t>
      </w:r>
      <w:r>
        <w:rPr>
          <w:rFonts w:eastAsia="Open Sans" w:cs="Open Sans" w:ascii="Open Sans" w:hAnsi="Open Sans"/>
          <w:b w:val="false"/>
          <w:bCs w:val="false"/>
          <w:i/>
          <w:iCs/>
          <w:sz w:val="20"/>
          <w:szCs w:val="20"/>
          <w:lang w:val="es-CO"/>
        </w:rPr>
        <w:t>JSTOR.</w:t>
      </w:r>
      <w:r>
        <w:rPr>
          <w:rFonts w:eastAsia="Open Sans" w:cs="Open Sans" w:ascii="Open Sans" w:hAnsi="Open Sans"/>
          <w:b w:val="false"/>
          <w:bCs w:val="false"/>
          <w:sz w:val="20"/>
          <w:szCs w:val="20"/>
          <w:lang w:val="es-CO"/>
        </w:rPr>
        <w:t xml:space="preserve"> https://www.jstor.org/stable/10.3102/0013189X14551945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A Systematic Review on Algebraic Thinking in Education. (n.d.).</w:t>
      </w:r>
      <w:r>
        <w:rPr>
          <w:rFonts w:eastAsia="Open Sans" w:cs="Open Sans" w:ascii="Open Sans" w:hAnsi="Open Sans"/>
          <w:b w:val="false"/>
          <w:bCs w:val="false"/>
          <w:i/>
          <w:iCs/>
          <w:sz w:val="20"/>
          <w:szCs w:val="20"/>
          <w:lang w:val="es-CO"/>
        </w:rPr>
        <w:t xml:space="preserve"> ERIC. </w:t>
      </w:r>
      <w:r>
        <w:rPr>
          <w:rFonts w:eastAsia="Open Sans" w:cs="Open Sans" w:ascii="Open Sans" w:hAnsi="Open Sans"/>
          <w:b w:val="false"/>
          <w:bCs w:val="false"/>
          <w:sz w:val="20"/>
          <w:szCs w:val="20"/>
          <w:lang w:val="es-CO"/>
        </w:rPr>
        <w:t>https://files.eric.ed.gov/fulltext/ED590182.pdf</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Algebra Teaching and Learning. (n.d.). </w:t>
      </w:r>
      <w:r>
        <w:rPr>
          <w:rFonts w:eastAsia="Open Sans" w:cs="Open Sans" w:ascii="Open Sans" w:hAnsi="Open Sans"/>
          <w:b w:val="false"/>
          <w:bCs w:val="false"/>
          <w:i/>
          <w:iCs/>
          <w:sz w:val="20"/>
          <w:szCs w:val="20"/>
          <w:lang w:val="es-CO"/>
        </w:rPr>
        <w:t>SpringerLink.</w:t>
      </w:r>
      <w:r>
        <w:rPr>
          <w:rFonts w:eastAsia="Open Sans" w:cs="Open Sans" w:ascii="Open Sans" w:hAnsi="Open Sans"/>
          <w:b w:val="false"/>
          <w:bCs w:val="false"/>
          <w:sz w:val="20"/>
          <w:szCs w:val="20"/>
          <w:lang w:val="es-CO"/>
        </w:rPr>
        <w:t xml:space="preserve"> https://link.springer.com/book/10.1007/978-3-319-32260-5</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Students’ Difficulties, Conceptions and Attitudes Towards Algebra. (n.d.). </w:t>
      </w:r>
      <w:r>
        <w:rPr>
          <w:rFonts w:eastAsia="Open Sans" w:cs="Open Sans" w:ascii="Open Sans" w:hAnsi="Open Sans"/>
          <w:b w:val="false"/>
          <w:bCs w:val="false"/>
          <w:i/>
          <w:iCs/>
          <w:sz w:val="20"/>
          <w:szCs w:val="20"/>
          <w:lang w:val="es-CO"/>
        </w:rPr>
        <w:t>Curtin University.</w:t>
      </w:r>
      <w:r>
        <w:rPr>
          <w:rFonts w:eastAsia="Open Sans" w:cs="Open Sans" w:ascii="Open Sans" w:hAnsi="Open Sans"/>
          <w:b w:val="false"/>
          <w:bCs w:val="false"/>
          <w:sz w:val="20"/>
          <w:szCs w:val="20"/>
          <w:lang w:val="es-CO"/>
        </w:rPr>
        <w:t xml:space="preserve"> https://espace.curtin.edu.au/handle/20.500.11937/29247</w:t>
      </w:r>
    </w:p>
    <w:p>
      <w:pPr>
        <w:pStyle w:val="Normal"/>
        <w:ind w:right="-1"/>
        <w:rPr>
          <w:b/>
          <w:bCs/>
        </w:rPr>
      </w:pPr>
      <w:r>
        <w:rPr>
          <w:rFonts w:eastAsia="Open Sans" w:cs="Open Sans" w:ascii="Open Sans" w:hAnsi="Open Sans"/>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Solving Equations: The Transition from Arithmetic to Algebra. (n.d.). </w:t>
      </w:r>
      <w:r>
        <w:rPr>
          <w:rFonts w:eastAsia="Open Sans" w:cs="Open Sans" w:ascii="Open Sans" w:hAnsi="Open Sans"/>
          <w:b w:val="false"/>
          <w:bCs w:val="false"/>
          <w:i/>
          <w:iCs/>
          <w:sz w:val="20"/>
          <w:szCs w:val="20"/>
          <w:lang w:val="es-CO"/>
        </w:rPr>
        <w:t>Academia.edu</w:t>
      </w:r>
      <w:r>
        <w:rPr>
          <w:rFonts w:eastAsia="Open Sans" w:cs="Open Sans" w:ascii="Open Sans" w:hAnsi="Open Sans"/>
          <w:b w:val="false"/>
          <w:bCs w:val="false"/>
          <w:sz w:val="20"/>
          <w:szCs w:val="20"/>
          <w:lang w:val="es-CO"/>
        </w:rPr>
        <w:t>. https://www.academia.edu/28698487/Solving_Equations_The_Transition_from_Arithmetic_to_Algebra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Gasco-Txabarri, J. (2017). La resolución de problemas aritmético-algebraicos y las estrategias de aprendizaje en matemáticas. Un estudio en educación secundaria obligatoria (ESO). *Revista Latinoamericana de Investigación en Matemática Educativa, 20*(2), 167-192. Recuperado de: https://www.redalyc.org/journal/335/33552356003/33552356003.pdf</w:t>
      </w:r>
    </w:p>
    <w:p>
      <w:pPr>
        <w:pStyle w:val="Normal"/>
        <w:ind w:right="-1"/>
        <w:rPr>
          <w:b/>
          <w:bCs/>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Libros:</w:t>
      </w:r>
    </w:p>
    <w:p>
      <w:pPr>
        <w:pStyle w:val="Normal"/>
        <w:ind w:right="-1"/>
        <w:rPr>
          <w:b/>
          <w:bCs/>
        </w:rPr>
      </w:pPr>
      <w:r>
        <w:rPr>
          <w:rFonts w:eastAsia="Open Sans" w:cs="Open Sans" w:ascii="Open Sans" w:hAnsi="Open Sans"/>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Bergmann, J., &amp; Sams, A. (2012). </w:t>
      </w:r>
      <w:r>
        <w:rPr>
          <w:rFonts w:eastAsia="Open Sans" w:cs="Open Sans" w:ascii="Open Sans" w:hAnsi="Open Sans"/>
          <w:b w:val="false"/>
          <w:bCs w:val="false"/>
          <w:i/>
          <w:iCs/>
          <w:sz w:val="20"/>
          <w:szCs w:val="20"/>
          <w:lang w:val="es-CO"/>
        </w:rPr>
        <w:t>Flip your classroom: Reach every student in every class every day</w:t>
      </w:r>
      <w:r>
        <w:rPr>
          <w:rFonts w:eastAsia="Open Sans" w:cs="Open Sans" w:ascii="Open Sans" w:hAnsi="Open Sans"/>
          <w:b w:val="false"/>
          <w:bCs w:val="false"/>
          <w:sz w:val="20"/>
          <w:szCs w:val="20"/>
          <w:lang w:val="es-CO"/>
        </w:rPr>
        <w:t>. International Society for Technology in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Croft, T., &amp; Davison, R. (2006). </w:t>
      </w:r>
      <w:r>
        <w:rPr>
          <w:rFonts w:eastAsia="Open Sans" w:cs="Open Sans" w:ascii="Open Sans" w:hAnsi="Open Sans"/>
          <w:b w:val="false"/>
          <w:bCs w:val="false"/>
          <w:i/>
          <w:iCs/>
          <w:sz w:val="20"/>
          <w:szCs w:val="20"/>
          <w:lang w:val="es-CO"/>
        </w:rPr>
        <w:t>A guide to mathematical problem solving.</w:t>
      </w:r>
      <w:r>
        <w:rPr>
          <w:rFonts w:eastAsia="Open Sans" w:cs="Open Sans" w:ascii="Open Sans" w:hAnsi="Open Sans"/>
          <w:b w:val="false"/>
          <w:bCs w:val="false"/>
          <w:sz w:val="20"/>
          <w:szCs w:val="20"/>
          <w:lang w:val="es-CO"/>
        </w:rPr>
        <w:t xml:space="preserve"> Pearson Education.</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Lage, M. J., Platt, G. J., &amp; Treglia, M. (2000). Inverting the classroom: A gateway to creating an inclusive learning environment. </w:t>
      </w:r>
      <w:r>
        <w:rPr>
          <w:rFonts w:eastAsia="Open Sans" w:cs="Open Sans" w:ascii="Open Sans" w:hAnsi="Open Sans"/>
          <w:b w:val="false"/>
          <w:bCs w:val="false"/>
          <w:i/>
          <w:iCs/>
          <w:sz w:val="20"/>
          <w:szCs w:val="20"/>
          <w:lang w:val="es-CO"/>
        </w:rPr>
        <w:t>The Journal of Economic Education, 31</w:t>
      </w:r>
      <w:r>
        <w:rPr>
          <w:rFonts w:eastAsia="Open Sans" w:cs="Open Sans" w:ascii="Open Sans" w:hAnsi="Open Sans"/>
          <w:b w:val="false"/>
          <w:bCs w:val="false"/>
          <w:sz w:val="20"/>
          <w:szCs w:val="20"/>
          <w:lang w:val="es-CO"/>
        </w:rPr>
        <w:t>(1), 30-43.</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t xml:space="preserve">Prince, M. (2004). Does active learning work? A review of the research. </w:t>
      </w:r>
      <w:r>
        <w:rPr>
          <w:rFonts w:eastAsia="Open Sans" w:cs="Open Sans" w:ascii="Open Sans" w:hAnsi="Open Sans"/>
          <w:b w:val="false"/>
          <w:bCs w:val="false"/>
          <w:i/>
          <w:iCs/>
          <w:sz w:val="20"/>
          <w:szCs w:val="20"/>
          <w:lang w:val="es-CO"/>
        </w:rPr>
        <w:t>Journal of Engineering Education, 93</w:t>
      </w:r>
      <w:r>
        <w:rPr>
          <w:rFonts w:eastAsia="Open Sans" w:cs="Open Sans" w:ascii="Open Sans" w:hAnsi="Open Sans"/>
          <w:b w:val="false"/>
          <w:bCs w:val="false"/>
          <w:sz w:val="20"/>
          <w:szCs w:val="20"/>
          <w:lang w:val="es-CO"/>
        </w:rPr>
        <w:t>(3), 223-231.</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swiss"/>
    <w:pitch w:val="default"/>
  </w:font>
  <w:font w:name="Droid Sans Mono">
    <w:altName w:val="monospace"/>
    <w:charset w:val="01"/>
    <w:family w:val="roman"/>
    <w:pitch w:val="variable"/>
  </w:font>
  <w:font w:name="KaTeX Main">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8"/>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7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Characters18">
    <w:name w:val="Footnote Characters18"/>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Characters17">
    <w:name w:val="Endnote Characters17"/>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1122</TotalTime>
  <Application>LibreOffice/24.2.5.2$Linux_X86_64 LibreOffice_project/d6e8b0f3fc6e8af2b00cf4969fd0d2fa45b9a62e</Application>
  <AppVersion>15.0000</AppVersion>
  <Pages>20</Pages>
  <Words>7366</Words>
  <Characters>44746</Characters>
  <CharactersWithSpaces>52213</CharactersWithSpaces>
  <Paragraphs>540</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2024-08-31T22:20:07Z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