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han observado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 (Hiebert &amp; Carpenter, 1992).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(Tall, 2004).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(Santoro et al. (2021).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Introducir el concepto de función como base para la resolución de ecuaciones permite a los estudiantes visualizar de manera tabular y gráfica y así entender mejor las ecuaciones como igualdad de funciones o pregunta por los puntos donde, las funciones que forman los lados de la ecuación, son iguales.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$$ 2x = x^{2} $$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f(x) = 2x - x^{2}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 w:cstheme="minorBidi"/>
          <w:b w:val="false"/>
          <w:color w:val="000000"/>
          <w:sz w:val="20"/>
          <w:szCs w:val="20"/>
          <w:highlight w:val="none"/>
          <w:shd w:fill="auto" w:val="clear"/>
        </w:rPr>
      </w:pPr>
      <w:r>
        <w:rPr>
          <w:rFonts w:eastAsia="Calibri" w:cs="" w:cstheme="minorBidi" w:eastAsiaTheme="minorHAnsi"/>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cs="" w:cstheme="minorBid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 w:cstheme="minorBidi"/>
          <w:b w:val="false"/>
          <w:color w:val="6A9955"/>
          <w:sz w:val="21"/>
          <w:highlight w:val="none"/>
          <w:shd w:fill="auto" w:val="clear"/>
        </w:rPr>
      </w:pPr>
      <w:r>
        <w:rPr>
          <w:rFonts w:eastAsia="Calibri" w:cs="" w:cstheme="minorBidi" w:eastAsiaTheme="minorHAnsi"/>
          <w:b w:val="false"/>
          <w:color w:val="6A9955"/>
          <w:sz w:val="21"/>
          <w:shd w:fill="auto" w:val="clear"/>
        </w:rPr>
        <w:t># 2x = x^{2}</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numpy</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569CD6"/>
          <w:sz w:val="21"/>
          <w:shd w:fill="auto" w:val="clear"/>
        </w:rPr>
        <w:t>def</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return</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2</w:t>
      </w:r>
      <w:r>
        <w:rPr>
          <w:rFonts w:eastAsia="Calibri" w:cs="" w:cstheme="minorBidi" w:eastAsiaTheme="minorHAnsi"/>
          <w:b w:val="false"/>
          <w:color w:val="D4D4D4"/>
          <w:sz w:val="21"/>
          <w:shd w:fill="auto" w:val="clear"/>
        </w:rPr>
        <w:t>*</w:t>
      </w:r>
      <w:r>
        <w:rPr>
          <w:rFonts w:eastAsia="Calibri" w:cs="" w:cstheme="minorBidi" w:eastAsiaTheme="minorHAnsi"/>
          <w:b w:val="false"/>
          <w:color w:val="9CDCFE"/>
          <w:sz w:val="21"/>
          <w:shd w:fill="auto" w:val="clear"/>
        </w:rPr>
        <w:t>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x</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2</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np</w:t>
      </w:r>
      <w:r>
        <w:rPr>
          <w:rFonts w:eastAsia="Calibri" w:cs="" w:cstheme="minorBidi" w:eastAsiaTheme="minorHAnsi"/>
          <w:b w:val="false"/>
          <w:color w:val="CCCCCC"/>
          <w:sz w:val="21"/>
          <w:shd w:fill="auto" w:val="clear"/>
        </w:rPr>
        <w:t>.</w:t>
      </w:r>
      <w:r>
        <w:rPr>
          <w:rFonts w:eastAsia="Calibri" w:cs="" w:cstheme="minorBidi" w:eastAsiaTheme="minorHAnsi"/>
          <w:b w:val="false"/>
          <w:color w:val="DCDCAA"/>
          <w:sz w:val="21"/>
          <w:shd w:fill="auto" w:val="clear"/>
        </w:rPr>
        <w:t>arange</w:t>
      </w:r>
      <w:r>
        <w:rPr>
          <w:rFonts w:eastAsia="Calibri" w:cs="" w:cstheme="minorBidi" w:eastAsiaTheme="minorHAnsi"/>
          <w:b w:val="false"/>
          <w:color w:val="CCCCCC"/>
          <w:sz w:val="21"/>
          <w:shd w:fill="auto" w:val="clear"/>
        </w:rPr>
        <w:t>(</w:t>
      </w:r>
      <w:r>
        <w:rPr>
          <w:rFonts w:eastAsia="Calibri" w:cs="" w:cstheme="minorBidi" w:eastAsiaTheme="minorHAnsi"/>
          <w:b w:val="false"/>
          <w:color w:val="D4D4D4"/>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w:t>
      </w:r>
      <w:r>
        <w:rPr>
          <w:rFonts w:eastAsia="Calibri" w:cs="" w:cstheme="minorBidi" w:eastAsiaTheme="minorHAnsi"/>
          <w:b w:val="false"/>
          <w:color w:val="B5CEA8"/>
          <w:sz w:val="21"/>
          <w:shd w:fill="auto" w:val="clear"/>
        </w:rPr>
        <w:t>4</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B5CEA8"/>
          <w:sz w:val="21"/>
          <w:shd w:fill="auto" w:val="clear"/>
        </w:rPr>
        <w:t>1</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CDCAA"/>
          <w:sz w:val="21"/>
          <w:shd w:fill="auto" w:val="clear"/>
        </w:rPr>
        <w:t>f</w:t>
      </w:r>
      <w:r>
        <w:rPr>
          <w:rFonts w:eastAsia="Calibri" w:cs="" w:cstheme="minorBidi" w:eastAsiaTheme="minorHAnsi"/>
          <w:b w:val="false"/>
          <w:color w:val="CCCCCC"/>
          <w:sz w:val="21"/>
          <w:shd w:fill="auto" w:val="clear"/>
        </w:rPr>
        <w:t>(</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p>
    <w:p>
      <w:pPr>
        <w:pStyle w:val="Normal"/>
        <w:spacing w:lineRule="atLeast" w:line="285"/>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C586C0"/>
          <w:sz w:val="21"/>
          <w:shd w:fill="auto" w:val="clear"/>
        </w:rPr>
        <w:t>import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pandas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586C0"/>
          <w:sz w:val="21"/>
          <w:shd w:fill="auto" w:val="clear"/>
        </w:rPr>
        <w:t>as</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D4D4D4"/>
          <w:sz w:val="21"/>
          <w:shd w:fill="auto" w:val="clear"/>
        </w:rPr>
        <w:t>=</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4EC9B0"/>
          <w:sz w:val="21"/>
          <w:shd w:fill="auto" w:val="clear"/>
        </w:rPr>
        <w:t>pd</w:t>
      </w:r>
      <w:r>
        <w:rPr>
          <w:rFonts w:eastAsia="Calibri" w:cs="" w:cstheme="minorBidi" w:eastAsiaTheme="minorHAnsi"/>
          <w:b w:val="false"/>
          <w:color w:val="CCCCCC"/>
          <w:sz w:val="21"/>
          <w:shd w:fill="auto" w:val="clear"/>
        </w:rPr>
        <w:t>.</w:t>
      </w:r>
      <w:r>
        <w:rPr>
          <w:rFonts w:eastAsia="Calibri" w:cs="" w:cstheme="minorBidi" w:eastAsiaTheme="minorHAnsi"/>
          <w:b w:val="false"/>
          <w:color w:val="4EC9B0"/>
          <w:sz w:val="21"/>
          <w:shd w:fill="auto" w:val="clear"/>
        </w:rPr>
        <w:t>DataFrame</w:t>
      </w:r>
      <w:r>
        <w:rPr>
          <w:rFonts w:eastAsia="Calibri" w:cs="" w:cstheme="minorBidi" w:eastAsiaTheme="minorHAnsi"/>
          <w:b w:val="false"/>
          <w:color w:val="CCCCCC"/>
          <w:sz w:val="21"/>
          <w:shd w:fill="auto" w:val="clear"/>
        </w:rPr>
        <w:t>({</w:t>
      </w:r>
      <w:r>
        <w:rPr>
          <w:rFonts w:eastAsia="Calibri" w:cs="" w:cstheme="minorBidi" w:eastAsiaTheme="minorHAnsi"/>
          <w:b w:val="false"/>
          <w:color w:val="CE9178"/>
          <w:sz w:val="21"/>
          <w:shd w:fill="auto" w:val="clear"/>
        </w:rPr>
        <w:t>'numeros 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dominio</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CE9178"/>
          <w:sz w:val="21"/>
          <w:shd w:fill="auto" w:val="clear"/>
        </w:rPr>
        <w:t>'valores y o f(x)'</w:t>
      </w:r>
      <w:r>
        <w:rPr>
          <w:rFonts w:eastAsia="Calibri" w:cs="" w:cstheme="minorBidi" w:eastAsiaTheme="minorHAnsi"/>
          <w:b w:val="false"/>
          <w:color w:val="CCCCCC"/>
          <w:sz w:val="21"/>
          <w:shd w:fill="auto" w:val="clear"/>
        </w:rPr>
        <w:t xml:space="preserve">: </w:t>
      </w:r>
      <w:r>
        <w:rPr>
          <w:rFonts w:eastAsia="Calibri" w:cs="" w:cstheme="minorBidi" w:eastAsiaTheme="minorHAnsi"/>
          <w:b w:val="false"/>
          <w:color w:val="9CDCFE"/>
          <w:sz w:val="21"/>
          <w:shd w:fill="auto" w:val="clear"/>
        </w:rPr>
        <w:t>rango</w:t>
      </w:r>
      <w:r>
        <w:rPr>
          <w:rFonts w:eastAsia="Calibri" w:cs="" w:cstheme="minorBidi" w:eastAsiaTheme="minorHAnsi"/>
          <w:b w:val="false"/>
          <w:color w:val="CCCCCC"/>
          <w:sz w:val="21"/>
          <w:shd w:fill="auto" w:val="clear"/>
        </w:rPr>
        <w:t>})</w:t>
      </w:r>
    </w:p>
    <w:p>
      <w:pPr>
        <w:pStyle w:val="Normal"/>
        <w:spacing w:lineRule="atLeast" w:line="285"/>
        <w:ind w:hanging="0" w:left="0" w:right="0"/>
        <w:rPr>
          <w:rFonts w:ascii="Droid Sans Mono;monospace;monospace" w:hAnsi="Droid Sans Mono;monospace;monospace" w:cs="" w:cstheme="minorBidi"/>
          <w:b w:val="false"/>
          <w:color w:val="CCCCCC"/>
          <w:sz w:val="21"/>
          <w:highlight w:val="none"/>
          <w:shd w:fill="auto" w:val="clear"/>
        </w:rPr>
      </w:pPr>
      <w:r>
        <w:rPr>
          <w:rFonts w:eastAsia="Calibri" w:cs="" w:cstheme="minorBidi" w:eastAsiaTheme="minorHAnsi"/>
          <w:b w:val="false"/>
          <w:color w:val="9CDCFE"/>
          <w:sz w:val="21"/>
          <w:shd w:fill="auto" w:val="clear"/>
        </w:rPr>
        <w:t>tabla</w:t>
      </w:r>
      <w:r>
        <w:rPr>
          <w:rFonts w:eastAsia="Calibri" w:cs="" w:cstheme="minorBidi" w:eastAsiaTheme="minorHAnsi"/>
          <w:b w:val="false"/>
          <w:color w:val="CCCCCC"/>
          <w:sz w:val="21"/>
          <w:shd w:fill="auto" w:val="clear"/>
        </w:rPr>
        <w:t xml:space="preserve"> </w:t>
      </w:r>
    </w:p>
    <w:p>
      <w:pPr>
        <w:pStyle w:val="Normal"/>
        <w:spacing w:lineRule="atLeast" w:line="285"/>
        <w:rPr>
          <w:rFonts w:ascii="Droid Sans Mono;monospace;monospace" w:hAnsi="Droid Sans Mono;monospace;monospace" w:cs="" w:cstheme="minorBidi"/>
          <w:b w:val="false"/>
          <w:color w:val="CCCCCC"/>
          <w:sz w:val="21"/>
          <w:highlight w:val="none"/>
          <w:shd w:fill="auto" w:val="clear"/>
        </w:rPr>
      </w:pPr>
      <w:r>
        <w:rPr>
          <w:rFonts w:cs="" w:cstheme="minorBid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 w:cstheme="minorBidi"/>
          <w:b/>
          <w:bCs/>
          <w:color w:val="000000"/>
          <w:sz w:val="21"/>
          <w:highlight w:val="none"/>
          <w:shd w:fill="auto" w:val="clear"/>
        </w:rPr>
      </w:pPr>
      <w:r>
        <w:rPr>
          <w:rFonts w:eastAsia="Calibri" w:cs="" w:cstheme="minorBidi" w:eastAsiaTheme="minorHAnsi"/>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 w:cstheme="minorBidi"/>
          <w:b w:val="false"/>
          <w:color w:val="000000"/>
          <w:sz w:val="21"/>
          <w:highlight w:val="none"/>
          <w:shd w:fill="auto" w:val="clear"/>
        </w:rPr>
      </w:pPr>
      <w:r>
        <w:rPr>
          <w:rFonts w:cs="" w:cstheme="minorBid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rPr/>
            </w:pPr>
            <w:r>
              <w:rPr/>
              <w:t>numeros x</w:t>
            </w:r>
          </w:p>
        </w:tc>
        <w:tc>
          <w:tcPr>
            <w:tcW w:w="4319" w:type="dxa"/>
            <w:tcBorders/>
          </w:tcPr>
          <w:p>
            <w:pPr>
              <w:pStyle w:val="Normal"/>
              <w:rPr/>
            </w:pPr>
            <w:r>
              <w:rPr/>
              <w:t>valores y o f(x)</w:t>
            </w:r>
          </w:p>
        </w:tc>
      </w:tr>
      <w:tr>
        <w:trPr/>
        <w:tc>
          <w:tcPr>
            <w:tcW w:w="4320" w:type="dxa"/>
            <w:tcBorders/>
          </w:tcPr>
          <w:p>
            <w:pPr>
              <w:pStyle w:val="Normal"/>
              <w:rPr/>
            </w:pPr>
            <w:r>
              <w:rPr/>
              <w:t>-4</w:t>
            </w:r>
          </w:p>
        </w:tc>
        <w:tc>
          <w:tcPr>
            <w:tcW w:w="4319" w:type="dxa"/>
            <w:tcBorders/>
          </w:tcPr>
          <w:p>
            <w:pPr>
              <w:pStyle w:val="Normal"/>
              <w:rPr/>
            </w:pPr>
            <w:r>
              <w:rPr/>
              <w:t>-24</w:t>
            </w:r>
          </w:p>
        </w:tc>
      </w:tr>
      <w:tr>
        <w:trPr/>
        <w:tc>
          <w:tcPr>
            <w:tcW w:w="4320" w:type="dxa"/>
            <w:tcBorders/>
          </w:tcPr>
          <w:p>
            <w:pPr>
              <w:pStyle w:val="Normal"/>
              <w:rPr/>
            </w:pPr>
            <w:r>
              <w:rPr/>
              <w:t>-3</w:t>
            </w:r>
          </w:p>
        </w:tc>
        <w:tc>
          <w:tcPr>
            <w:tcW w:w="4319" w:type="dxa"/>
            <w:tcBorders/>
          </w:tcPr>
          <w:p>
            <w:pPr>
              <w:pStyle w:val="Normal"/>
              <w:rPr/>
            </w:pPr>
            <w:r>
              <w:rPr/>
              <w:t>-15</w:t>
            </w:r>
          </w:p>
        </w:tc>
      </w:tr>
      <w:tr>
        <w:trPr/>
        <w:tc>
          <w:tcPr>
            <w:tcW w:w="4320" w:type="dxa"/>
            <w:tcBorders/>
          </w:tcPr>
          <w:p>
            <w:pPr>
              <w:pStyle w:val="Normal"/>
              <w:rPr/>
            </w:pPr>
            <w:r>
              <w:rPr/>
              <w:t>-2</w:t>
            </w:r>
          </w:p>
        </w:tc>
        <w:tc>
          <w:tcPr>
            <w:tcW w:w="4319" w:type="dxa"/>
            <w:tcBorders/>
          </w:tcPr>
          <w:p>
            <w:pPr>
              <w:pStyle w:val="Normal"/>
              <w:rPr/>
            </w:pPr>
            <w:r>
              <w:rPr/>
              <w:t>-8</w:t>
            </w:r>
          </w:p>
        </w:tc>
      </w:tr>
      <w:tr>
        <w:trPr/>
        <w:tc>
          <w:tcPr>
            <w:tcW w:w="4320" w:type="dxa"/>
            <w:tcBorders/>
          </w:tcPr>
          <w:p>
            <w:pPr>
              <w:pStyle w:val="Normal"/>
              <w:rPr/>
            </w:pPr>
            <w:r>
              <w:rPr/>
              <w:t>-1</w:t>
            </w:r>
          </w:p>
        </w:tc>
        <w:tc>
          <w:tcPr>
            <w:tcW w:w="4319" w:type="dxa"/>
            <w:tcBorders/>
          </w:tcPr>
          <w:p>
            <w:pPr>
              <w:pStyle w:val="Normal"/>
              <w:rPr/>
            </w:pPr>
            <w:r>
              <w:rPr/>
              <w:t>-3</w:t>
            </w:r>
          </w:p>
        </w:tc>
      </w:tr>
      <w:tr>
        <w:trPr/>
        <w:tc>
          <w:tcPr>
            <w:tcW w:w="4320" w:type="dxa"/>
            <w:tcBorders/>
          </w:tcPr>
          <w:p>
            <w:pPr>
              <w:pStyle w:val="Normal"/>
              <w:rPr/>
            </w:pPr>
            <w:r>
              <w:rPr/>
              <w:t>0</w:t>
            </w:r>
          </w:p>
        </w:tc>
        <w:tc>
          <w:tcPr>
            <w:tcW w:w="4319" w:type="dxa"/>
            <w:tcBorders/>
          </w:tcPr>
          <w:p>
            <w:pPr>
              <w:pStyle w:val="Normal"/>
              <w:rPr/>
            </w:pPr>
            <w:r>
              <w:rPr/>
              <w:t>0</w:t>
            </w:r>
          </w:p>
        </w:tc>
      </w:tr>
      <w:tr>
        <w:trPr/>
        <w:tc>
          <w:tcPr>
            <w:tcW w:w="4320" w:type="dxa"/>
            <w:tcBorders/>
          </w:tcPr>
          <w:p>
            <w:pPr>
              <w:pStyle w:val="Normal"/>
              <w:rPr/>
            </w:pPr>
            <w:r>
              <w:rPr/>
              <w:t>1</w:t>
            </w:r>
          </w:p>
        </w:tc>
        <w:tc>
          <w:tcPr>
            <w:tcW w:w="4319" w:type="dxa"/>
            <w:tcBorders/>
          </w:tcPr>
          <w:p>
            <w:pPr>
              <w:pStyle w:val="Normal"/>
              <w:rPr/>
            </w:pPr>
            <w:r>
              <w:rPr/>
              <w:t>1</w:t>
            </w:r>
          </w:p>
        </w:tc>
      </w:tr>
      <w:tr>
        <w:trPr/>
        <w:tc>
          <w:tcPr>
            <w:tcW w:w="4320" w:type="dxa"/>
            <w:tcBorders/>
          </w:tcPr>
          <w:p>
            <w:pPr>
              <w:pStyle w:val="Normal"/>
              <w:rPr/>
            </w:pPr>
            <w:r>
              <w:rPr/>
              <w:t>2</w:t>
            </w:r>
          </w:p>
        </w:tc>
        <w:tc>
          <w:tcPr>
            <w:tcW w:w="4319" w:type="dxa"/>
            <w:tcBorders/>
          </w:tcPr>
          <w:p>
            <w:pPr>
              <w:pStyle w:val="Normal"/>
              <w:rPr/>
            </w:pPr>
            <w:r>
              <w:rPr/>
              <w:t>0</w:t>
            </w:r>
          </w:p>
        </w:tc>
      </w:tr>
      <w:tr>
        <w:trPr/>
        <w:tc>
          <w:tcPr>
            <w:tcW w:w="4320" w:type="dxa"/>
            <w:tcBorders/>
          </w:tcPr>
          <w:p>
            <w:pPr>
              <w:pStyle w:val="Normal"/>
              <w:rPr/>
            </w:pPr>
            <w:r>
              <w:rPr/>
              <w:t>3</w:t>
            </w:r>
          </w:p>
        </w:tc>
        <w:tc>
          <w:tcPr>
            <w:tcW w:w="4319" w:type="dxa"/>
            <w:tcBorders/>
          </w:tcPr>
          <w:p>
            <w:pPr>
              <w:pStyle w:val="Normal"/>
              <w:rPr/>
            </w:pPr>
            <w:r>
              <w:rPr/>
              <w:t>-3</w:t>
            </w:r>
          </w:p>
        </w:tc>
      </w:tr>
      <w:tr>
        <w:trPr/>
        <w:tc>
          <w:tcPr>
            <w:tcW w:w="4320" w:type="dxa"/>
            <w:tcBorders/>
          </w:tcPr>
          <w:p>
            <w:pPr>
              <w:pStyle w:val="Normal"/>
              <w:rPr/>
            </w:pPr>
            <w:r>
              <w:rPr/>
              <w:t>4</w:t>
            </w:r>
          </w:p>
        </w:tc>
        <w:tc>
          <w:tcPr>
            <w:tcW w:w="4319" w:type="dxa"/>
            <w:tcBorders/>
          </w:tcPr>
          <w:p>
            <w:pPr>
              <w:pStyle w:val="Normal"/>
              <w:rPr/>
            </w:pPr>
            <w:r>
              <w:rPr/>
              <w:t>-8</w:t>
            </w:r>
          </w:p>
        </w:tc>
      </w:tr>
    </w:tbl>
    <w:p>
      <w:pPr>
        <w:pStyle w:val="Normal"/>
        <w:spacing w:lineRule="atLeast" w:line="285"/>
        <w:rPr>
          <w:rFonts w:ascii="Droid Sans Mono;monospace;monospace" w:hAnsi="Droid Sans Mono;monospace;monospace" w:cs="" w:cstheme="minorBidi"/>
          <w:b w:val="false"/>
          <w:color w:val="000000"/>
          <w:sz w:val="21"/>
          <w:highlight w:val="none"/>
          <w:shd w:fill="auto" w:val="clear"/>
        </w:rPr>
      </w:pPr>
      <w:r>
        <w:rPr>
          <w:rFonts w:eastAsia="Calibri" w:cs="" w:cstheme="minorBidi" w:eastAsiaTheme="minorHAnsi"/>
          <w:b w:val="false"/>
          <w:color w:val="000000"/>
          <w:sz w:val="21"/>
          <w:shd w:fill="auto" w:val="clear"/>
        </w:rPr>
        <w:t>Tabla 1</w:t>
      </w:r>
    </w:p>
    <w:p>
      <w:pPr>
        <w:pStyle w:val="Normal"/>
        <w:ind w:right="-1"/>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hd w:fill="auto" w:val="clea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b/>
          <w:bCs/>
        </w:rPr>
      </w:r>
    </w:p>
    <w:p>
      <w:pPr>
        <w:pStyle w:val="Normal"/>
        <w:ind w:right="-1"/>
        <w:rPr>
          <w:b w:val="false"/>
          <w:bCs w:val="false"/>
        </w:rPr>
      </w:pPr>
      <w:r>
        <w:rPr>
          <w:b w:val="false"/>
          <w:bCs w:val="false"/>
        </w:rPr>
        <w:t xml:space="preserve">Se interpreta la solución del gráfico, solo observando los puntos en los que el gráfico de la función corta el eje horizontal, que se interpreta como los puntos en los que la diferencia se hace cero. </w:t>
      </w:r>
    </w:p>
    <w:p>
      <w:pPr>
        <w:pStyle w:val="Normal"/>
        <w:ind w:right="-1"/>
        <w:rPr>
          <w:b/>
          <w:bCs/>
        </w:rPr>
      </w:pPr>
      <w:r>
        <w:rPr>
          <w:b/>
          <w:bCs/>
        </w:rPr>
      </w:r>
    </w:p>
    <w:p>
      <w:pPr>
        <w:pStyle w:val="Normal"/>
        <w:ind w:right="-1"/>
        <w:rPr>
          <w:rFonts w:ascii="Droid Sans Mono;monospace;monospace" w:hAnsi="Droid Sans Mono;monospace;monospace" w:cstheme="minorBidi"/>
          <w:b/>
          <w:color w:val="000000"/>
          <w:sz w:val="21"/>
          <w:highlight w:val="none"/>
          <w:shd w:fill="auto" w:val="clear"/>
        </w:rPr>
      </w:pPr>
      <w:r>
        <w:rPr>
          <w:rFonts w:eastAsia="Open Sans" w:cs="Open Sans" w:ascii="Open Sans" w:hAnsi="Open Sans"/>
          <w:b/>
          <w:bCs/>
          <w:color w:val="000000"/>
          <w:sz w:val="20"/>
          <w:szCs w:val="20"/>
          <w:shd w:fill="auto" w:val="clear"/>
          <w:lang w:val="es-CO"/>
        </w:rPr>
        <w:t>Actividad 2: Modelar con lenguaje python y lenguaje algebraico, resolver con sympy, Representación tabular y gráfica de funciones</w:t>
      </w:r>
    </w:p>
    <w:p>
      <w:pPr>
        <w:pStyle w:val="Normal"/>
        <w:spacing w:lineRule="atLeast" w:line="285"/>
        <w:ind w:hanging="0" w:left="0" w:right="0"/>
        <w:rPr>
          <w:rFonts w:ascii="Droid Sans Mono;monospace;monospace" w:hAnsi="Droid Sans Mono;monospace;monospace" w:cstheme="minorBidi"/>
          <w:b/>
          <w:color w:val="000000"/>
          <w:sz w:val="21"/>
          <w:highlight w:val="none"/>
          <w:shd w:fill="auto" w:val="clear"/>
        </w:rPr>
      </w:pPr>
      <w:r>
        <w:rPr>
          <w:rFonts w:asciiTheme="minorHAnsi" w:cstheme="minorBidi" w:eastAsiaTheme="minorHAnsi" w:hAnsiTheme="minorHAnsi" w:ascii="Droid Sans Mono;monospace;monospace" w:hAnsi="Droid Sans Mono;monospace;monospace"/>
          <w:b/>
          <w:color w:val="000000"/>
          <w:sz w:val="21"/>
          <w:shd w:fill="auto" w:val="clear"/>
        </w:rPr>
        <w:t>Problema</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Actualmente, la edad del padre es tres veces la edad de su hijo. Y dentro de quince años, la edad del padre será el doble de la de su hijo. Determine las edades actuales de ellos.</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 Los estudiantes utilizan lenguaje algebraico para modelar la situación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Usando Pandas, los estudiantes crean la representación tabular de la función diferencia. Se les enseña a interpretar la tabla para encontrar en ella la solución de la ecuación y a conectar la representación tabular con la gráfica.</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Usando Matplotlib los estudiantes grafican la función diferencia de los lados de la ecuación. Luego se les enseña a resolver el problema a partir de la observación del gráfico.</w:t>
      </w:r>
    </w:p>
    <w:p>
      <w:pPr>
        <w:pStyle w:val="Normal"/>
        <w:spacing w:lineRule="atLeast" w:line="285"/>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Veamos la tres maneras de solución de este problema, modelando para luego resolver por observación:   </w:t>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Empieza la solución con un proceso de abstracción, es decir, de determinación del mínimo de variables necesarias ppara resolver el problema. </w:t>
      </w:r>
    </w:p>
    <w:p>
      <w:pPr>
        <w:pStyle w:val="Normal"/>
        <w:spacing w:lineRule="atLeast" w:line="285"/>
        <w:rPr>
          <w:rFonts w:asciiTheme="minorHAnsi" w:cstheme="minorBidi" w:eastAsiaTheme="minorHAnsi" w:hAnsiTheme="minorHAnsi"/>
          <w:color w:val="000000"/>
          <w:highlight w:val="none"/>
          <w:shd w:fill="auto" w:val="clear"/>
        </w:rPr>
      </w:pPr>
      <w:r>
        <w:rPr>
          <w:rFonts w:asciiTheme="minorHAnsi" w:cstheme="minorBidi" w:eastAsiaTheme="minorHAnsi" w:hAnsiTheme="minorHAnsi"/>
          <w:color w:val="000000"/>
          <w:shd w:fill="auto" w:val="clear"/>
        </w:rPr>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Note que la única variable necesaria es la edad actual del hijo $x$. Pues al tenerla o determinarla, podemos inferir la del padre utilizando la hipótesis de que la de este es tres veces la del hijo.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xml:space="preserve"># importación de las librerías necesarias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from</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sympy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numpy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pandas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pd</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matplotlib</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4EC9B0"/>
          <w:sz w:val="21"/>
          <w:shd w:fill="auto" w:val="clear"/>
        </w:rPr>
        <w:t>pyplot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modelación con el lenguaje legible python y ell lenguaje manipulable algebraico</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edad_actual_hijo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var</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edad_actual_padre</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3</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edad_actual_hijo</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edad_hijo_quince_años_despues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edad_actual_hijo</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15</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edad_padre_qunce_años_despues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edad_actual_padre</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15</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modelo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Eq</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edad_padre_qunce_años_despues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edad_hijo_quince_años_despues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9CDCFE"/>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modelo</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KaTeX Main;Times New Roman;serif" w:hAnsi="KaTeX Main;Times New Roman;serif"/>
          <w:b w:val="false"/>
          <w:i w:val="false"/>
          <w:caps w:val="false"/>
          <w:smallCaps w:val="false"/>
          <w:color w:val="000000"/>
          <w:spacing w:val="0"/>
          <w:sz w:val="24"/>
          <w:shd w:fill="auto" w:val="clear"/>
        </w:rPr>
        <w:t>3</w:t>
      </w:r>
      <w:r>
        <w:rPr>
          <w:rFonts w:asciiTheme="minorHAnsi" w:cstheme="minorBidi" w:eastAsiaTheme="minorHAnsi" w:hAnsiTheme="minorHAnsi" w:ascii="KaTeX Math" w:hAnsi="KaTeX Math"/>
          <w:b w:val="false"/>
          <w:i/>
          <w:caps w:val="false"/>
          <w:smallCaps w:val="false"/>
          <w:color w:val="000000"/>
          <w:spacing w:val="0"/>
          <w:sz w:val="24"/>
          <w:shd w:fill="auto" w:val="clear"/>
        </w:rPr>
        <w:t>x</w:t>
      </w:r>
      <w:r>
        <w:rPr>
          <w:rFonts w:asciiTheme="minorHAnsi" w:cstheme="minorBidi" w:eastAsiaTheme="minorHAnsi" w:hAnsiTheme="minorHAnsi" w:ascii="KaTeX Main;Times New Roman;serif" w:hAnsi="KaTeX Main;Times New Roman;serif"/>
          <w:b w:val="false"/>
          <w:i w:val="false"/>
          <w:caps w:val="false"/>
          <w:smallCaps w:val="false"/>
          <w:color w:val="000000"/>
          <w:spacing w:val="0"/>
          <w:sz w:val="24"/>
          <w:shd w:fill="auto" w:val="clear"/>
        </w:rPr>
        <w:t>+15=2</w:t>
      </w:r>
      <w:r>
        <w:rPr>
          <w:rFonts w:asciiTheme="minorHAnsi" w:cstheme="minorBidi" w:eastAsiaTheme="minorHAnsi" w:hAnsiTheme="minorHAnsi" w:ascii="KaTeX Math" w:hAnsi="KaTeX Math"/>
          <w:b w:val="false"/>
          <w:i/>
          <w:caps w:val="false"/>
          <w:smallCaps w:val="false"/>
          <w:color w:val="000000"/>
          <w:spacing w:val="0"/>
          <w:sz w:val="24"/>
          <w:shd w:fill="auto" w:val="clear"/>
        </w:rPr>
        <w:t>x</w:t>
      </w:r>
      <w:r>
        <w:rPr>
          <w:rFonts w:asciiTheme="minorHAnsi" w:cstheme="minorBidi" w:eastAsiaTheme="minorHAnsi" w:hAnsiTheme="minorHAnsi" w:ascii="KaTeX Main;Times New Roman;serif" w:hAnsi="KaTeX Main;Times New Roman;serif"/>
          <w:b w:val="false"/>
          <w:i w:val="false"/>
          <w:caps w:val="false"/>
          <w:smallCaps w:val="false"/>
          <w:color w:val="000000"/>
          <w:spacing w:val="0"/>
          <w:sz w:val="24"/>
          <w:shd w:fill="auto" w:val="clear"/>
        </w:rPr>
        <w:t xml:space="preserve">+30  </w:t>
      </w:r>
      <w:r>
        <w:rPr>
          <w:rFonts w:asciiTheme="minorHAnsi" w:cstheme="minorBidi" w:eastAsiaTheme="minorHAnsi" w:hAnsiTheme="minorHAnsi" w:ascii="KaTeX Main;Times New Roman;serif" w:hAnsi="KaTeX Main;Times New Roman;serif"/>
          <w:b w:val="false"/>
          <w:i w:val="false"/>
          <w:caps w:val="false"/>
          <w:smallCaps w:val="false"/>
          <w:color w:val="000000"/>
          <w:spacing w:val="0"/>
          <w:sz w:val="24"/>
          <w:shd w:fill="auto" w:val="clear"/>
        </w:rPr>
        <w:t>(Esta es la ecuación modelo que se obtiene con el código anterior)</w:t>
      </w:r>
    </w:p>
    <w:p>
      <w:pPr>
        <w:pStyle w:val="Normal"/>
        <w:spacing w:lineRule="atLeast" w:line="285"/>
        <w:ind w:hanging="0" w:left="0" w:right="0"/>
        <w:rPr>
          <w:rFonts w:ascii="KaTeX Main;Times New Roman;serif" w:hAnsi="KaTeX Main;Times New Roman;serif"/>
          <w:i w:val="false"/>
          <w:caps w:val="false"/>
          <w:smallCaps w:val="false"/>
          <w:spacing w:val="0"/>
          <w:sz w:val="24"/>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KaTeX Main;Times New Roman;serif" w:hAnsi="KaTeX Main;Times New Roman;serif"/>
          <w:b w:val="false"/>
          <w:i w:val="false"/>
          <w:caps w:val="false"/>
          <w:smallCaps w:val="false"/>
          <w:color w:val="DCDCAA"/>
          <w:spacing w:val="0"/>
          <w:sz w:val="24"/>
          <w:shd w:fill="auto" w:val="clear"/>
        </w:rPr>
        <w:t>solve</w:t>
      </w:r>
      <w:r>
        <w:rPr>
          <w:rFonts w:asciiTheme="minorHAnsi" w:cstheme="minorBidi" w:eastAsiaTheme="minorHAnsi" w:hAnsiTheme="minorHAnsi" w:ascii="KaTeX Main;Times New Roman;serif" w:hAnsi="KaTeX Main;Times New Roman;serif"/>
          <w:b w:val="false"/>
          <w:i w:val="false"/>
          <w:caps w:val="false"/>
          <w:smallCaps w:val="false"/>
          <w:color w:val="CCCCCC"/>
          <w:spacing w:val="0"/>
          <w:sz w:val="24"/>
          <w:shd w:fill="auto" w:val="clear"/>
        </w:rPr>
        <w:t>(</w:t>
      </w:r>
      <w:r>
        <w:rPr>
          <w:rFonts w:asciiTheme="minorHAnsi" w:cstheme="minorBidi" w:eastAsiaTheme="minorHAnsi" w:hAnsiTheme="minorHAnsi" w:ascii="KaTeX Main;Times New Roman;serif" w:hAnsi="KaTeX Main;Times New Roman;serif"/>
          <w:b w:val="false"/>
          <w:i w:val="false"/>
          <w:caps w:val="false"/>
          <w:smallCaps w:val="false"/>
          <w:color w:val="9CDCFE"/>
          <w:spacing w:val="0"/>
          <w:sz w:val="24"/>
          <w:shd w:fill="auto" w:val="clear"/>
        </w:rPr>
        <w:t>modelo</w:t>
      </w:r>
      <w:r>
        <w:rPr>
          <w:rFonts w:asciiTheme="minorHAnsi" w:cstheme="minorBidi" w:eastAsiaTheme="minorHAnsi" w:hAnsiTheme="minorHAnsi" w:ascii="KaTeX Main;Times New Roman;serif" w:hAnsi="KaTeX Main;Times New Roman;serif"/>
          <w:b w:val="false"/>
          <w:i w:val="false"/>
          <w:caps w:val="false"/>
          <w:smallCaps w:val="false"/>
          <w:color w:val="CCCCCC"/>
          <w:spacing w:val="0"/>
          <w:sz w:val="24"/>
          <w:shd w:fill="auto" w:val="clear"/>
        </w:rPr>
        <w:t xml:space="preserve">, </w:t>
      </w:r>
      <w:r>
        <w:rPr>
          <w:rFonts w:asciiTheme="minorHAnsi" w:cstheme="minorBidi" w:eastAsiaTheme="minorHAnsi" w:hAnsiTheme="minorHAnsi" w:ascii="KaTeX Main;Times New Roman;serif" w:hAnsi="KaTeX Main;Times New Roman;serif"/>
          <w:b w:val="false"/>
          <w:i w:val="false"/>
          <w:caps w:val="false"/>
          <w:smallCaps w:val="false"/>
          <w:color w:val="9CDCFE"/>
          <w:spacing w:val="0"/>
          <w:sz w:val="24"/>
          <w:shd w:fill="auto" w:val="clear"/>
        </w:rPr>
        <w:t>edad_actual_hijo</w:t>
      </w:r>
      <w:r>
        <w:rPr>
          <w:rFonts w:asciiTheme="minorHAnsi" w:cstheme="minorBidi" w:eastAsiaTheme="minorHAnsi" w:hAnsiTheme="minorHAnsi" w:ascii="KaTeX Main;Times New Roman;serif" w:hAnsi="KaTeX Main;Times New Roman;serif"/>
          <w:b w:val="false"/>
          <w:i w:val="false"/>
          <w:caps w:val="false"/>
          <w:smallCaps w:val="false"/>
          <w:color w:val="CCCCCC"/>
          <w:spacing w:val="0"/>
          <w:sz w:val="24"/>
          <w:shd w:fill="auto" w:val="clear"/>
        </w:rPr>
        <w:t>)[</w:t>
      </w:r>
      <w:r>
        <w:rPr>
          <w:rFonts w:asciiTheme="minorHAnsi" w:cstheme="minorBidi" w:eastAsiaTheme="minorHAnsi" w:hAnsiTheme="minorHAnsi" w:ascii="KaTeX Main;Times New Roman;serif" w:hAnsi="KaTeX Main;Times New Roman;serif"/>
          <w:b w:val="false"/>
          <w:i w:val="false"/>
          <w:caps w:val="false"/>
          <w:smallCaps w:val="false"/>
          <w:color w:val="B5CEA8"/>
          <w:spacing w:val="0"/>
          <w:sz w:val="24"/>
          <w:shd w:fill="auto" w:val="clear"/>
        </w:rPr>
        <w:t>0</w:t>
      </w:r>
      <w:r>
        <w:rPr>
          <w:rFonts w:asciiTheme="minorHAnsi" w:cstheme="minorBidi" w:eastAsiaTheme="minorHAnsi" w:hAnsiTheme="minorHAnsi" w:ascii="KaTeX Main;Times New Roman;serif" w:hAnsi="KaTeX Main;Times New Roman;serif"/>
          <w:b w:val="false"/>
          <w:i w:val="false"/>
          <w:caps w:val="false"/>
          <w:smallCaps w:val="false"/>
          <w:color w:val="CCCCCC"/>
          <w:spacing w:val="0"/>
          <w:sz w:val="24"/>
          <w:shd w:fill="auto" w:val="clear"/>
        </w:rPr>
        <w:t>]</w:t>
      </w:r>
    </w:p>
    <w:p>
      <w:pPr>
        <w:pStyle w:val="Normal"/>
        <w:spacing w:lineRule="atLeast" w:line="285"/>
        <w:ind w:hanging="0" w:left="0" w:right="0"/>
        <w:rPr>
          <w:rFonts w:ascii="KaTeX Main;Times New Roman;serif" w:hAnsi="KaTeX Main;Times New Roman;serif" w:cstheme="minorBidi"/>
          <w:b w:val="false"/>
          <w:i w:val="false"/>
          <w:caps w:val="false"/>
          <w:smallCaps w:val="false"/>
          <w:color w:val="000000"/>
          <w:spacing w:val="0"/>
          <w:sz w:val="24"/>
          <w:highlight w:val="none"/>
          <w:shd w:fill="auto" w:val="clear"/>
        </w:rPr>
      </w:pPr>
      <w:r>
        <w:rPr>
          <w:rFonts w:asciiTheme="minorHAnsi" w:cstheme="minorBidi" w:eastAsiaTheme="minorHAnsi" w:hAnsiTheme="minorHAnsi" w:ascii="KaTeX Main;Times New Roman;serif" w:hAnsi="KaTeX Main;Times New Roman;serif"/>
          <w:b w:val="false"/>
          <w:i w:val="false"/>
          <w:caps w:val="false"/>
          <w:smallCaps w:val="false"/>
          <w:color w:val="000000"/>
          <w:spacing w:val="0"/>
          <w:sz w:val="24"/>
          <w:shd w:fill="auto" w:val="clear"/>
        </w:rPr>
        <w:t>15 (esta es la solución que obtenemos usando la función solve() de sympy)</w:t>
      </w:r>
    </w:p>
    <w:p>
      <w:pPr>
        <w:pStyle w:val="Normal"/>
        <w:spacing w:lineRule="atLeast" w:line="285"/>
        <w:ind w:hanging="0" w:left="0" w:right="0"/>
        <w:rPr>
          <w:rFonts w:ascii="KaTeX Main;Times New Roman;serif" w:hAnsi="KaTeX Main;Times New Roman;serif"/>
          <w:i w:val="false"/>
          <w:caps w:val="false"/>
          <w:smallCaps w:val="false"/>
          <w:spacing w:val="0"/>
          <w:sz w:val="24"/>
        </w:rPr>
      </w:pPr>
      <w:r>
        <w:rPr>
          <w:rFonts w:asciiTheme="minorHAnsi" w:cstheme="minorBidi" w:eastAsiaTheme="minorHAnsi" w:hAnsiTheme="minorHAns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KaTeX Main;Times New Roman;serif" w:hAnsi="KaTeX Main;Times New Roman;serif"/>
          <w:b w:val="false"/>
          <w:i w:val="false"/>
          <w:caps w:val="false"/>
          <w:smallCaps w:val="false"/>
          <w:color w:val="6A9955"/>
          <w:spacing w:val="0"/>
          <w:sz w:val="24"/>
          <w:shd w:fill="auto" w:val="clear"/>
        </w:rPr>
        <w:t># determinación de progresión geométrica de posibles edades actuales del hijo para explorar</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30</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edades_actuales_posibles_del_hijo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arange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1</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definición de la función diferencia de las edades futuras de padre e hijo</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lam_funcion_diferencia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lambdify</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edad_actual_hijo</w:t>
      </w:r>
      <w:r>
        <w:rPr>
          <w:rFonts w:asciiTheme="minorHAnsi" w:cstheme="minorBidi" w:eastAsiaTheme="minorHAnsi" w:hAnsiTheme="minorHAnsi" w:ascii="Droid Sans Mono;monospace;monospace" w:hAnsi="Droid Sans Mono;monospace;monospace"/>
          <w:b w:val="false"/>
          <w:color w:val="CCCCCC"/>
          <w:sz w:val="21"/>
          <w:shd w:fill="auto" w:val="clear"/>
        </w:rPr>
        <w:t>,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edad_padre_qunce_años_despues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edad_hijo_quince_años_despues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evaluación de edades del hijo para obtener la diferencia de las edades a los quince años</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diferencia_de_edades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lam_funcion_diferencia</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edades_actuales_posibles_del_hijo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Contrucción de la representación tabular de la función diferencia de los lados de la ecuación modelo</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diccionario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E9178"/>
          <w:sz w:val="21"/>
          <w:shd w:fill="auto" w:val="clear"/>
        </w:rPr>
        <w:t>'edades actuales posibles del hijo'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edades_actuales_posibles_del_hijo</w:t>
      </w:r>
      <w:r>
        <w:rPr>
          <w:rFonts w:asciiTheme="minorHAnsi" w:cstheme="minorBidi" w:eastAsiaTheme="minorHAnsi" w:hAnsiTheme="minorHAnsi" w:ascii="Droid Sans Mono;monospace;monospace" w:hAnsi="Droid Sans Mono;monospace;monospace"/>
          <w:b w:val="false"/>
          <w:color w:val="CCCCCC"/>
          <w:sz w:val="21"/>
          <w:shd w:fill="auto" w:val="clear"/>
        </w:rPr>
        <w:t>,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E9178"/>
          <w:sz w:val="21"/>
          <w:shd w:fill="auto" w:val="clear"/>
        </w:rPr>
        <w:t>'valores de diferencia de edades dentro de 15 años'</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diferencia_de_edades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funcion_en_forma_tabular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4EC9B0"/>
          <w:sz w:val="21"/>
          <w:shd w:fill="auto" w:val="clear"/>
        </w:rPr>
        <w:t>DataFrame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diccionario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9CDCFE"/>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funcion_en_forma_tabular</w:t>
      </w:r>
    </w:p>
    <w:p>
      <w:pPr>
        <w:pStyle w:val="Normal"/>
        <w:spacing w:lineRule="atLeast" w:line="285"/>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CCCCC"/>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20"/>
      </w:tblGrid>
      <w:tr>
        <w:trPr/>
        <w:tc>
          <w:tcPr>
            <w:tcW w:w="4320" w:type="dxa"/>
            <w:tcBorders/>
          </w:tcPr>
          <w:p>
            <w:pPr>
              <w:pStyle w:val="Normal"/>
              <w:rPr/>
            </w:pPr>
            <w:r>
              <w:rPr/>
              <w:t>edades actuales posibles del hijo</w:t>
            </w:r>
          </w:p>
        </w:tc>
        <w:tc>
          <w:tcPr>
            <w:tcW w:w="4320" w:type="dxa"/>
            <w:tcBorders/>
          </w:tcPr>
          <w:p>
            <w:pPr>
              <w:pStyle w:val="Normal"/>
              <w:rPr/>
            </w:pPr>
            <w:r>
              <w:rPr/>
              <w:t>valores de diferencia de edades dentro de 15 años</w:t>
            </w:r>
          </w:p>
        </w:tc>
      </w:tr>
      <w:tr>
        <w:trPr/>
        <w:tc>
          <w:tcPr>
            <w:tcW w:w="4320" w:type="dxa"/>
            <w:tcBorders/>
          </w:tcPr>
          <w:p>
            <w:pPr>
              <w:pStyle w:val="Normal"/>
              <w:rPr/>
            </w:pPr>
            <w:r>
              <w:rPr/>
              <w:t>0</w:t>
            </w:r>
          </w:p>
        </w:tc>
        <w:tc>
          <w:tcPr>
            <w:tcW w:w="4320" w:type="dxa"/>
            <w:tcBorders/>
          </w:tcPr>
          <w:p>
            <w:pPr>
              <w:pStyle w:val="Normal"/>
              <w:rPr/>
            </w:pPr>
            <w:r>
              <w:rPr/>
              <w:t>-15</w:t>
            </w:r>
          </w:p>
        </w:tc>
      </w:tr>
      <w:tr>
        <w:trPr/>
        <w:tc>
          <w:tcPr>
            <w:tcW w:w="4320" w:type="dxa"/>
            <w:tcBorders/>
          </w:tcPr>
          <w:p>
            <w:pPr>
              <w:pStyle w:val="Normal"/>
              <w:rPr/>
            </w:pPr>
            <w:r>
              <w:rPr/>
              <w:t>1</w:t>
            </w:r>
          </w:p>
        </w:tc>
        <w:tc>
          <w:tcPr>
            <w:tcW w:w="4320" w:type="dxa"/>
            <w:tcBorders/>
          </w:tcPr>
          <w:p>
            <w:pPr>
              <w:pStyle w:val="Normal"/>
              <w:rPr/>
            </w:pPr>
            <w:r>
              <w:rPr/>
              <w:t>-14</w:t>
            </w:r>
          </w:p>
        </w:tc>
      </w:tr>
      <w:tr>
        <w:trPr/>
        <w:tc>
          <w:tcPr>
            <w:tcW w:w="4320" w:type="dxa"/>
            <w:tcBorders/>
          </w:tcPr>
          <w:p>
            <w:pPr>
              <w:pStyle w:val="Normal"/>
              <w:rPr/>
            </w:pPr>
            <w:r>
              <w:rPr/>
              <w:t>2</w:t>
            </w:r>
          </w:p>
        </w:tc>
        <w:tc>
          <w:tcPr>
            <w:tcW w:w="4320" w:type="dxa"/>
            <w:tcBorders/>
          </w:tcPr>
          <w:p>
            <w:pPr>
              <w:pStyle w:val="Normal"/>
              <w:rPr/>
            </w:pPr>
            <w:r>
              <w:rPr/>
              <w:t>-13</w:t>
            </w:r>
          </w:p>
        </w:tc>
      </w:tr>
      <w:tr>
        <w:trPr/>
        <w:tc>
          <w:tcPr>
            <w:tcW w:w="4320" w:type="dxa"/>
            <w:tcBorders/>
          </w:tcPr>
          <w:p>
            <w:pPr>
              <w:pStyle w:val="Normal"/>
              <w:rPr/>
            </w:pPr>
            <w:r>
              <w:rPr/>
              <w:t>3</w:t>
            </w:r>
          </w:p>
        </w:tc>
        <w:tc>
          <w:tcPr>
            <w:tcW w:w="4320" w:type="dxa"/>
            <w:tcBorders/>
          </w:tcPr>
          <w:p>
            <w:pPr>
              <w:pStyle w:val="Normal"/>
              <w:rPr/>
            </w:pPr>
            <w:r>
              <w:rPr/>
              <w:t>-12</w:t>
            </w:r>
          </w:p>
        </w:tc>
      </w:tr>
      <w:tr>
        <w:trPr/>
        <w:tc>
          <w:tcPr>
            <w:tcW w:w="4320" w:type="dxa"/>
            <w:tcBorders/>
          </w:tcPr>
          <w:p>
            <w:pPr>
              <w:pStyle w:val="Normal"/>
              <w:rPr/>
            </w:pPr>
            <w:r>
              <w:rPr/>
              <w:t>4</w:t>
            </w:r>
          </w:p>
        </w:tc>
        <w:tc>
          <w:tcPr>
            <w:tcW w:w="4320" w:type="dxa"/>
            <w:tcBorders/>
          </w:tcPr>
          <w:p>
            <w:pPr>
              <w:pStyle w:val="Normal"/>
              <w:rPr/>
            </w:pPr>
            <w:r>
              <w:rPr/>
              <w:t>-11</w:t>
            </w:r>
          </w:p>
        </w:tc>
      </w:tr>
      <w:tr>
        <w:trPr/>
        <w:tc>
          <w:tcPr>
            <w:tcW w:w="4320" w:type="dxa"/>
            <w:tcBorders/>
          </w:tcPr>
          <w:p>
            <w:pPr>
              <w:pStyle w:val="Normal"/>
              <w:rPr/>
            </w:pPr>
            <w:r>
              <w:rPr/>
              <w:t>5</w:t>
            </w:r>
          </w:p>
        </w:tc>
        <w:tc>
          <w:tcPr>
            <w:tcW w:w="4320" w:type="dxa"/>
            <w:tcBorders/>
          </w:tcPr>
          <w:p>
            <w:pPr>
              <w:pStyle w:val="Normal"/>
              <w:rPr/>
            </w:pPr>
            <w:r>
              <w:rPr/>
              <w:t>-10</w:t>
            </w:r>
          </w:p>
        </w:tc>
      </w:tr>
      <w:tr>
        <w:trPr/>
        <w:tc>
          <w:tcPr>
            <w:tcW w:w="4320" w:type="dxa"/>
            <w:tcBorders/>
          </w:tcPr>
          <w:p>
            <w:pPr>
              <w:pStyle w:val="Normal"/>
              <w:rPr/>
            </w:pPr>
            <w:r>
              <w:rPr/>
              <w:t>6</w:t>
            </w:r>
          </w:p>
        </w:tc>
        <w:tc>
          <w:tcPr>
            <w:tcW w:w="4320" w:type="dxa"/>
            <w:tcBorders/>
          </w:tcPr>
          <w:p>
            <w:pPr>
              <w:pStyle w:val="Normal"/>
              <w:rPr/>
            </w:pPr>
            <w:r>
              <w:rPr/>
              <w:t>-9</w:t>
            </w:r>
          </w:p>
        </w:tc>
      </w:tr>
      <w:tr>
        <w:trPr/>
        <w:tc>
          <w:tcPr>
            <w:tcW w:w="4320" w:type="dxa"/>
            <w:tcBorders/>
          </w:tcPr>
          <w:p>
            <w:pPr>
              <w:pStyle w:val="Normal"/>
              <w:rPr/>
            </w:pPr>
            <w:r>
              <w:rPr/>
              <w:t>7</w:t>
            </w:r>
          </w:p>
        </w:tc>
        <w:tc>
          <w:tcPr>
            <w:tcW w:w="4320" w:type="dxa"/>
            <w:tcBorders/>
          </w:tcPr>
          <w:p>
            <w:pPr>
              <w:pStyle w:val="Normal"/>
              <w:rPr/>
            </w:pPr>
            <w:r>
              <w:rPr/>
              <w:t>-8</w:t>
            </w:r>
          </w:p>
        </w:tc>
      </w:tr>
      <w:tr>
        <w:trPr/>
        <w:tc>
          <w:tcPr>
            <w:tcW w:w="4320" w:type="dxa"/>
            <w:tcBorders/>
          </w:tcPr>
          <w:p>
            <w:pPr>
              <w:pStyle w:val="Normal"/>
              <w:rPr/>
            </w:pPr>
            <w:r>
              <w:rPr/>
              <w:t>8</w:t>
            </w:r>
          </w:p>
        </w:tc>
        <w:tc>
          <w:tcPr>
            <w:tcW w:w="4320" w:type="dxa"/>
            <w:tcBorders/>
          </w:tcPr>
          <w:p>
            <w:pPr>
              <w:pStyle w:val="Normal"/>
              <w:rPr/>
            </w:pPr>
            <w:r>
              <w:rPr/>
              <w:t>-7</w:t>
            </w:r>
          </w:p>
        </w:tc>
      </w:tr>
      <w:tr>
        <w:trPr/>
        <w:tc>
          <w:tcPr>
            <w:tcW w:w="4320" w:type="dxa"/>
            <w:tcBorders/>
          </w:tcPr>
          <w:p>
            <w:pPr>
              <w:pStyle w:val="Normal"/>
              <w:rPr/>
            </w:pPr>
            <w:r>
              <w:rPr/>
              <w:t>9</w:t>
            </w:r>
          </w:p>
        </w:tc>
        <w:tc>
          <w:tcPr>
            <w:tcW w:w="4320" w:type="dxa"/>
            <w:tcBorders/>
          </w:tcPr>
          <w:p>
            <w:pPr>
              <w:pStyle w:val="Normal"/>
              <w:rPr/>
            </w:pPr>
            <w:r>
              <w:rPr/>
              <w:t>-6</w:t>
            </w:r>
          </w:p>
        </w:tc>
      </w:tr>
      <w:tr>
        <w:trPr/>
        <w:tc>
          <w:tcPr>
            <w:tcW w:w="4320" w:type="dxa"/>
            <w:tcBorders/>
          </w:tcPr>
          <w:p>
            <w:pPr>
              <w:pStyle w:val="Normal"/>
              <w:rPr/>
            </w:pPr>
            <w:r>
              <w:rPr/>
              <w:t>10</w:t>
            </w:r>
          </w:p>
        </w:tc>
        <w:tc>
          <w:tcPr>
            <w:tcW w:w="4320" w:type="dxa"/>
            <w:tcBorders/>
          </w:tcPr>
          <w:p>
            <w:pPr>
              <w:pStyle w:val="Normal"/>
              <w:rPr/>
            </w:pPr>
            <w:r>
              <w:rPr/>
              <w:t>-5</w:t>
            </w:r>
          </w:p>
        </w:tc>
      </w:tr>
      <w:tr>
        <w:trPr/>
        <w:tc>
          <w:tcPr>
            <w:tcW w:w="4320" w:type="dxa"/>
            <w:tcBorders/>
          </w:tcPr>
          <w:p>
            <w:pPr>
              <w:pStyle w:val="Normal"/>
              <w:rPr/>
            </w:pPr>
            <w:r>
              <w:rPr/>
              <w:t>11</w:t>
            </w:r>
          </w:p>
        </w:tc>
        <w:tc>
          <w:tcPr>
            <w:tcW w:w="4320" w:type="dxa"/>
            <w:tcBorders/>
          </w:tcPr>
          <w:p>
            <w:pPr>
              <w:pStyle w:val="Normal"/>
              <w:rPr/>
            </w:pPr>
            <w:r>
              <w:rPr/>
              <w:t>-4</w:t>
            </w:r>
          </w:p>
        </w:tc>
      </w:tr>
      <w:tr>
        <w:trPr/>
        <w:tc>
          <w:tcPr>
            <w:tcW w:w="4320" w:type="dxa"/>
            <w:tcBorders/>
          </w:tcPr>
          <w:p>
            <w:pPr>
              <w:pStyle w:val="Normal"/>
              <w:rPr/>
            </w:pPr>
            <w:r>
              <w:rPr/>
              <w:t>12</w:t>
            </w:r>
          </w:p>
        </w:tc>
        <w:tc>
          <w:tcPr>
            <w:tcW w:w="4320" w:type="dxa"/>
            <w:tcBorders/>
          </w:tcPr>
          <w:p>
            <w:pPr>
              <w:pStyle w:val="Normal"/>
              <w:rPr/>
            </w:pPr>
            <w:r>
              <w:rPr/>
              <w:t>-3</w:t>
            </w:r>
          </w:p>
        </w:tc>
      </w:tr>
      <w:tr>
        <w:trPr/>
        <w:tc>
          <w:tcPr>
            <w:tcW w:w="4320" w:type="dxa"/>
            <w:tcBorders/>
          </w:tcPr>
          <w:p>
            <w:pPr>
              <w:pStyle w:val="Normal"/>
              <w:rPr/>
            </w:pPr>
            <w:r>
              <w:rPr/>
              <w:t>13</w:t>
            </w:r>
          </w:p>
        </w:tc>
        <w:tc>
          <w:tcPr>
            <w:tcW w:w="4320" w:type="dxa"/>
            <w:tcBorders/>
          </w:tcPr>
          <w:p>
            <w:pPr>
              <w:pStyle w:val="Normal"/>
              <w:rPr/>
            </w:pPr>
            <w:r>
              <w:rPr/>
              <w:t>-2</w:t>
            </w:r>
          </w:p>
        </w:tc>
      </w:tr>
      <w:tr>
        <w:trPr/>
        <w:tc>
          <w:tcPr>
            <w:tcW w:w="4320" w:type="dxa"/>
            <w:tcBorders/>
          </w:tcPr>
          <w:p>
            <w:pPr>
              <w:pStyle w:val="Normal"/>
              <w:rPr/>
            </w:pPr>
            <w:r>
              <w:rPr/>
              <w:t>14</w:t>
            </w:r>
          </w:p>
        </w:tc>
        <w:tc>
          <w:tcPr>
            <w:tcW w:w="4320" w:type="dxa"/>
            <w:tcBorders/>
          </w:tcPr>
          <w:p>
            <w:pPr>
              <w:pStyle w:val="Normal"/>
              <w:rPr/>
            </w:pPr>
            <w:r>
              <w:rPr/>
              <w:t>-1</w:t>
            </w:r>
          </w:p>
        </w:tc>
      </w:tr>
      <w:tr>
        <w:trPr/>
        <w:tc>
          <w:tcPr>
            <w:tcW w:w="4320" w:type="dxa"/>
            <w:tcBorders/>
          </w:tcPr>
          <w:p>
            <w:pPr>
              <w:pStyle w:val="Normal"/>
              <w:rPr/>
            </w:pPr>
            <w:r>
              <w:rPr/>
              <w:t>15</w:t>
            </w:r>
          </w:p>
        </w:tc>
        <w:tc>
          <w:tcPr>
            <w:tcW w:w="4320" w:type="dxa"/>
            <w:tcBorders/>
          </w:tcPr>
          <w:p>
            <w:pPr>
              <w:pStyle w:val="Normal"/>
              <w:rPr/>
            </w:pPr>
            <w:r>
              <w:rPr/>
              <w:t>0</w:t>
            </w:r>
          </w:p>
        </w:tc>
      </w:tr>
      <w:tr>
        <w:trPr/>
        <w:tc>
          <w:tcPr>
            <w:tcW w:w="4320" w:type="dxa"/>
            <w:tcBorders/>
          </w:tcPr>
          <w:p>
            <w:pPr>
              <w:pStyle w:val="Normal"/>
              <w:rPr/>
            </w:pPr>
            <w:r>
              <w:rPr/>
              <w:t>16</w:t>
            </w:r>
          </w:p>
        </w:tc>
        <w:tc>
          <w:tcPr>
            <w:tcW w:w="4320" w:type="dxa"/>
            <w:tcBorders/>
          </w:tcPr>
          <w:p>
            <w:pPr>
              <w:pStyle w:val="Normal"/>
              <w:rPr/>
            </w:pPr>
            <w:r>
              <w:rPr/>
              <w:t>1</w:t>
            </w:r>
          </w:p>
        </w:tc>
      </w:tr>
      <w:tr>
        <w:trPr/>
        <w:tc>
          <w:tcPr>
            <w:tcW w:w="4320" w:type="dxa"/>
            <w:tcBorders/>
          </w:tcPr>
          <w:p>
            <w:pPr>
              <w:pStyle w:val="Normal"/>
              <w:rPr/>
            </w:pPr>
            <w:r>
              <w:rPr/>
              <w:t>17</w:t>
            </w:r>
          </w:p>
        </w:tc>
        <w:tc>
          <w:tcPr>
            <w:tcW w:w="4320" w:type="dxa"/>
            <w:tcBorders/>
          </w:tcPr>
          <w:p>
            <w:pPr>
              <w:pStyle w:val="Normal"/>
              <w:rPr/>
            </w:pPr>
            <w:r>
              <w:rPr/>
              <w:t>2</w:t>
            </w:r>
          </w:p>
        </w:tc>
      </w:tr>
      <w:tr>
        <w:trPr/>
        <w:tc>
          <w:tcPr>
            <w:tcW w:w="4320" w:type="dxa"/>
            <w:tcBorders/>
          </w:tcPr>
          <w:p>
            <w:pPr>
              <w:pStyle w:val="Normal"/>
              <w:rPr/>
            </w:pPr>
            <w:r>
              <w:rPr/>
              <w:t>18</w:t>
            </w:r>
          </w:p>
        </w:tc>
        <w:tc>
          <w:tcPr>
            <w:tcW w:w="4320" w:type="dxa"/>
            <w:tcBorders/>
          </w:tcPr>
          <w:p>
            <w:pPr>
              <w:pStyle w:val="Normal"/>
              <w:rPr/>
            </w:pPr>
            <w:r>
              <w:rPr/>
              <w:t>3</w:t>
            </w:r>
          </w:p>
        </w:tc>
      </w:tr>
      <w:tr>
        <w:trPr/>
        <w:tc>
          <w:tcPr>
            <w:tcW w:w="4320" w:type="dxa"/>
            <w:tcBorders/>
          </w:tcPr>
          <w:p>
            <w:pPr>
              <w:pStyle w:val="Normal"/>
              <w:rPr/>
            </w:pPr>
            <w:r>
              <w:rPr/>
              <w:t>19</w:t>
            </w:r>
          </w:p>
        </w:tc>
        <w:tc>
          <w:tcPr>
            <w:tcW w:w="4320" w:type="dxa"/>
            <w:tcBorders/>
          </w:tcPr>
          <w:p>
            <w:pPr>
              <w:pStyle w:val="Normal"/>
              <w:rPr/>
            </w:pPr>
            <w:r>
              <w:rPr/>
              <w:t>4</w:t>
            </w:r>
          </w:p>
        </w:tc>
      </w:tr>
      <w:tr>
        <w:trPr/>
        <w:tc>
          <w:tcPr>
            <w:tcW w:w="4320" w:type="dxa"/>
            <w:tcBorders/>
          </w:tcPr>
          <w:p>
            <w:pPr>
              <w:pStyle w:val="Normal"/>
              <w:rPr/>
            </w:pPr>
            <w:r>
              <w:rPr/>
              <w:t>20</w:t>
            </w:r>
          </w:p>
        </w:tc>
        <w:tc>
          <w:tcPr>
            <w:tcW w:w="4320" w:type="dxa"/>
            <w:tcBorders/>
          </w:tcPr>
          <w:p>
            <w:pPr>
              <w:pStyle w:val="Normal"/>
              <w:rPr/>
            </w:pPr>
            <w:r>
              <w:rPr/>
              <w:t>5</w:t>
            </w:r>
          </w:p>
        </w:tc>
      </w:tr>
      <w:tr>
        <w:trPr/>
        <w:tc>
          <w:tcPr>
            <w:tcW w:w="4320" w:type="dxa"/>
            <w:tcBorders/>
          </w:tcPr>
          <w:p>
            <w:pPr>
              <w:pStyle w:val="Normal"/>
              <w:rPr/>
            </w:pPr>
            <w:r>
              <w:rPr/>
              <w:t>21</w:t>
            </w:r>
          </w:p>
        </w:tc>
        <w:tc>
          <w:tcPr>
            <w:tcW w:w="4320" w:type="dxa"/>
            <w:tcBorders/>
          </w:tcPr>
          <w:p>
            <w:pPr>
              <w:pStyle w:val="Normal"/>
              <w:rPr/>
            </w:pPr>
            <w:r>
              <w:rPr/>
              <w:t>6</w:t>
            </w:r>
          </w:p>
        </w:tc>
      </w:tr>
      <w:tr>
        <w:trPr/>
        <w:tc>
          <w:tcPr>
            <w:tcW w:w="4320" w:type="dxa"/>
            <w:tcBorders/>
          </w:tcPr>
          <w:p>
            <w:pPr>
              <w:pStyle w:val="Normal"/>
              <w:rPr/>
            </w:pPr>
            <w:r>
              <w:rPr/>
              <w:t>22</w:t>
            </w:r>
          </w:p>
        </w:tc>
        <w:tc>
          <w:tcPr>
            <w:tcW w:w="4320" w:type="dxa"/>
            <w:tcBorders/>
          </w:tcPr>
          <w:p>
            <w:pPr>
              <w:pStyle w:val="Normal"/>
              <w:rPr/>
            </w:pPr>
            <w:r>
              <w:rPr/>
              <w:t>7</w:t>
            </w:r>
          </w:p>
        </w:tc>
      </w:tr>
      <w:tr>
        <w:trPr/>
        <w:tc>
          <w:tcPr>
            <w:tcW w:w="4320" w:type="dxa"/>
            <w:tcBorders/>
          </w:tcPr>
          <w:p>
            <w:pPr>
              <w:pStyle w:val="Normal"/>
              <w:rPr/>
            </w:pPr>
            <w:r>
              <w:rPr/>
              <w:t>23</w:t>
            </w:r>
          </w:p>
        </w:tc>
        <w:tc>
          <w:tcPr>
            <w:tcW w:w="4320" w:type="dxa"/>
            <w:tcBorders/>
          </w:tcPr>
          <w:p>
            <w:pPr>
              <w:pStyle w:val="Normal"/>
              <w:rPr/>
            </w:pPr>
            <w:r>
              <w:rPr/>
              <w:t>8</w:t>
            </w:r>
          </w:p>
        </w:tc>
      </w:tr>
      <w:tr>
        <w:trPr/>
        <w:tc>
          <w:tcPr>
            <w:tcW w:w="4320" w:type="dxa"/>
            <w:tcBorders/>
          </w:tcPr>
          <w:p>
            <w:pPr>
              <w:pStyle w:val="Normal"/>
              <w:rPr/>
            </w:pPr>
            <w:r>
              <w:rPr/>
              <w:t>24</w:t>
            </w:r>
          </w:p>
        </w:tc>
        <w:tc>
          <w:tcPr>
            <w:tcW w:w="4320" w:type="dxa"/>
            <w:tcBorders/>
          </w:tcPr>
          <w:p>
            <w:pPr>
              <w:pStyle w:val="Normal"/>
              <w:rPr/>
            </w:pPr>
            <w:r>
              <w:rPr/>
              <w:t>9</w:t>
            </w:r>
          </w:p>
        </w:tc>
      </w:tr>
      <w:tr>
        <w:trPr/>
        <w:tc>
          <w:tcPr>
            <w:tcW w:w="4320" w:type="dxa"/>
            <w:tcBorders/>
          </w:tcPr>
          <w:p>
            <w:pPr>
              <w:pStyle w:val="Normal"/>
              <w:rPr/>
            </w:pPr>
            <w:r>
              <w:rPr/>
              <w:t>25</w:t>
            </w:r>
          </w:p>
        </w:tc>
        <w:tc>
          <w:tcPr>
            <w:tcW w:w="4320" w:type="dxa"/>
            <w:tcBorders/>
          </w:tcPr>
          <w:p>
            <w:pPr>
              <w:pStyle w:val="Normal"/>
              <w:rPr/>
            </w:pPr>
            <w:r>
              <w:rPr/>
              <w:t>10</w:t>
            </w:r>
          </w:p>
        </w:tc>
      </w:tr>
      <w:tr>
        <w:trPr/>
        <w:tc>
          <w:tcPr>
            <w:tcW w:w="4320" w:type="dxa"/>
            <w:tcBorders/>
          </w:tcPr>
          <w:p>
            <w:pPr>
              <w:pStyle w:val="Normal"/>
              <w:rPr/>
            </w:pPr>
            <w:r>
              <w:rPr/>
              <w:t>26</w:t>
            </w:r>
          </w:p>
        </w:tc>
        <w:tc>
          <w:tcPr>
            <w:tcW w:w="4320" w:type="dxa"/>
            <w:tcBorders/>
          </w:tcPr>
          <w:p>
            <w:pPr>
              <w:pStyle w:val="Normal"/>
              <w:rPr/>
            </w:pPr>
            <w:r>
              <w:rPr/>
              <w:t>11</w:t>
            </w:r>
          </w:p>
        </w:tc>
      </w:tr>
      <w:tr>
        <w:trPr/>
        <w:tc>
          <w:tcPr>
            <w:tcW w:w="4320" w:type="dxa"/>
            <w:tcBorders/>
          </w:tcPr>
          <w:p>
            <w:pPr>
              <w:pStyle w:val="Normal"/>
              <w:rPr/>
            </w:pPr>
            <w:r>
              <w:rPr/>
              <w:t>27</w:t>
            </w:r>
          </w:p>
        </w:tc>
        <w:tc>
          <w:tcPr>
            <w:tcW w:w="4320" w:type="dxa"/>
            <w:tcBorders/>
          </w:tcPr>
          <w:p>
            <w:pPr>
              <w:pStyle w:val="Normal"/>
              <w:rPr/>
            </w:pPr>
            <w:r>
              <w:rPr/>
              <w:t>12</w:t>
            </w:r>
          </w:p>
        </w:tc>
      </w:tr>
      <w:tr>
        <w:trPr/>
        <w:tc>
          <w:tcPr>
            <w:tcW w:w="4320" w:type="dxa"/>
            <w:tcBorders/>
          </w:tcPr>
          <w:p>
            <w:pPr>
              <w:pStyle w:val="Normal"/>
              <w:rPr/>
            </w:pPr>
            <w:r>
              <w:rPr/>
              <w:t>28</w:t>
            </w:r>
          </w:p>
        </w:tc>
        <w:tc>
          <w:tcPr>
            <w:tcW w:w="4320" w:type="dxa"/>
            <w:tcBorders/>
          </w:tcPr>
          <w:p>
            <w:pPr>
              <w:pStyle w:val="Normal"/>
              <w:rPr/>
            </w:pPr>
            <w:r>
              <w:rPr/>
              <w:t>13</w:t>
            </w:r>
          </w:p>
        </w:tc>
      </w:tr>
      <w:tr>
        <w:trPr/>
        <w:tc>
          <w:tcPr>
            <w:tcW w:w="4320" w:type="dxa"/>
            <w:tcBorders/>
          </w:tcPr>
          <w:p>
            <w:pPr>
              <w:pStyle w:val="Normal"/>
              <w:rPr/>
            </w:pPr>
            <w:r>
              <w:rPr/>
              <w:t>29</w:t>
            </w:r>
          </w:p>
        </w:tc>
        <w:tc>
          <w:tcPr>
            <w:tcW w:w="4320" w:type="dxa"/>
            <w:tcBorders/>
          </w:tcPr>
          <w:p>
            <w:pPr>
              <w:pStyle w:val="Normal"/>
              <w:rPr/>
            </w:pPr>
            <w:r>
              <w:rPr/>
              <w:t>14</w:t>
            </w:r>
          </w:p>
        </w:tc>
      </w:tr>
      <w:tr>
        <w:trPr/>
        <w:tc>
          <w:tcPr>
            <w:tcW w:w="4320" w:type="dxa"/>
            <w:tcBorders/>
          </w:tcPr>
          <w:p>
            <w:pPr>
              <w:pStyle w:val="Normal"/>
              <w:rPr/>
            </w:pPr>
            <w:r>
              <w:rPr/>
              <w:t>30</w:t>
            </w:r>
          </w:p>
        </w:tc>
        <w:tc>
          <w:tcPr>
            <w:tcW w:w="4320" w:type="dxa"/>
            <w:tcBorders/>
          </w:tcPr>
          <w:p>
            <w:pPr>
              <w:pStyle w:val="Normal"/>
              <w:rPr/>
            </w:pPr>
            <w:r>
              <w:rPr/>
              <w:t>15</w:t>
            </w:r>
          </w:p>
        </w:tc>
      </w:tr>
    </w:tbl>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Recordemos que la solución de la ecuación modelo se obtiene de la tabla, buscando el cero de la segunda columna. La fila que contiene el cero de la función diferencia, nos indica que la edad necesaria para que la diferencia de los lados de la ecuación sea cero es 15. Lo que equivale a decir, que 15 es la edad del hijo que hace que los lados de la ecuación sean iguales, de donde concluimos que las edades actuales del hijo y del padre son respectivamente: 15 y 45 años.  </w:t>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theme="minorBidi"/>
          <w:b w:val="false"/>
          <w:color w:val="CCCCCC"/>
          <w:sz w:val="21"/>
          <w:highlight w:val="none"/>
          <w:shd w:fill="1F1F1F" w:val="clear"/>
        </w:rPr>
      </w:pPr>
      <w:r>
        <w:rPr>
          <w:rFonts w:asciiTheme="minorHAnsi" w:cstheme="minorBidi" w:eastAsiaTheme="minorHAnsi" w:hAnsiTheme="minorHAnsi" w:ascii="Droid Sans Mono;monospace;monospace" w:hAnsi="Droid Sans Mono;monospace;monospace"/>
          <w:b w:val="false"/>
          <w:color w:val="4EC9B0"/>
          <w:sz w:val="21"/>
          <w:shd w:fill="1F1F1F" w:val="clear"/>
        </w:rPr>
        <w:t>plt</w:t>
      </w:r>
      <w:r>
        <w:rPr>
          <w:rFonts w:asciiTheme="minorHAnsi" w:cstheme="minorBidi" w:eastAsiaTheme="minorHAnsi" w:hAnsiTheme="minorHAnsi" w:ascii="Droid Sans Mono;monospace;monospace" w:hAnsi="Droid Sans Mono;monospace;monospace"/>
          <w:b w:val="false"/>
          <w:color w:val="CCCCCC"/>
          <w:sz w:val="21"/>
          <w:shd w:fill="1F1F1F" w:val="clear"/>
        </w:rPr>
        <w:t>.</w:t>
      </w:r>
      <w:r>
        <w:rPr>
          <w:rFonts w:asciiTheme="minorHAnsi" w:cstheme="minorBidi" w:eastAsiaTheme="minorHAnsi" w:hAnsiTheme="minorHAnsi" w:ascii="Droid Sans Mono;monospace;monospace" w:hAnsi="Droid Sans Mono;monospace;monospace"/>
          <w:b w:val="false"/>
          <w:color w:val="DCDCAA"/>
          <w:sz w:val="21"/>
          <w:shd w:fill="1F1F1F" w:val="clear"/>
        </w:rPr>
        <w:t>figure</w:t>
      </w:r>
      <w:r>
        <w:rPr>
          <w:rFonts w:asciiTheme="minorHAnsi" w:cstheme="minorBidi" w:eastAsiaTheme="minorHAnsi" w:hAnsiTheme="minorHAnsi" w:ascii="Droid Sans Mono;monospace;monospace" w:hAnsi="Droid Sans Mono;monospace;monospace"/>
          <w:b w:val="false"/>
          <w:color w:val="CCCCCC"/>
          <w:sz w:val="21"/>
          <w:shd w:fill="1F1F1F" w:val="clear"/>
        </w:rPr>
        <w:t>(</w:t>
      </w:r>
      <w:r>
        <w:rPr>
          <w:rFonts w:asciiTheme="minorHAnsi" w:cstheme="minorBidi" w:eastAsiaTheme="minorHAnsi" w:hAnsiTheme="minorHAnsi" w:ascii="Droid Sans Mono;monospace;monospace" w:hAnsi="Droid Sans Mono;monospace;monospace"/>
          <w:b w:val="false"/>
          <w:color w:val="9CDCFE"/>
          <w:sz w:val="21"/>
          <w:shd w:fill="1F1F1F" w:val="clear"/>
        </w:rPr>
        <w:t>figsize</w:t>
      </w:r>
      <w:r>
        <w:rPr>
          <w:rFonts w:asciiTheme="minorHAnsi" w:cstheme="minorBidi" w:eastAsiaTheme="minorHAnsi" w:hAnsiTheme="minorHAnsi" w:ascii="Droid Sans Mono;monospace;monospace" w:hAnsi="Droid Sans Mono;monospace;monospace"/>
          <w:b w:val="false"/>
          <w:color w:val="CCCCCC"/>
          <w:sz w:val="21"/>
          <w:shd w:fill="1F1F1F" w:val="clear"/>
        </w:rPr>
        <w:t xml:space="preserve"> </w:t>
      </w:r>
      <w:r>
        <w:rPr>
          <w:rFonts w:asciiTheme="minorHAnsi" w:cstheme="minorBidi" w:eastAsiaTheme="minorHAnsi" w:hAnsiTheme="minorHAnsi" w:ascii="Droid Sans Mono;monospace;monospace" w:hAnsi="Droid Sans Mono;monospace;monospace"/>
          <w:b w:val="false"/>
          <w:color w:val="D4D4D4"/>
          <w:sz w:val="21"/>
          <w:shd w:fill="1F1F1F" w:val="clear"/>
        </w:rPr>
        <w:t>=</w:t>
      </w:r>
      <w:r>
        <w:rPr>
          <w:rFonts w:asciiTheme="minorHAnsi" w:cstheme="minorBidi" w:eastAsiaTheme="minorHAnsi" w:hAnsiTheme="minorHAnsi" w:ascii="Droid Sans Mono;monospace;monospace" w:hAnsi="Droid Sans Mono;monospace;monospace"/>
          <w:b w:val="false"/>
          <w:color w:val="CCCCCC"/>
          <w:sz w:val="21"/>
          <w:shd w:fill="1F1F1F" w:val="clear"/>
        </w:rPr>
        <w:t xml:space="preserve"> (</w:t>
      </w:r>
      <w:r>
        <w:rPr>
          <w:rFonts w:asciiTheme="minorHAnsi" w:cstheme="minorBidi" w:eastAsiaTheme="minorHAnsi" w:hAnsiTheme="minorHAnsi" w:ascii="Droid Sans Mono;monospace;monospace" w:hAnsi="Droid Sans Mono;monospace;monospace"/>
          <w:b w:val="false"/>
          <w:color w:val="B5CEA8"/>
          <w:sz w:val="21"/>
          <w:shd w:fill="1F1F1F" w:val="clear"/>
        </w:rPr>
        <w:t>8</w:t>
      </w:r>
      <w:r>
        <w:rPr>
          <w:rFonts w:asciiTheme="minorHAnsi" w:cstheme="minorBidi" w:eastAsiaTheme="minorHAnsi" w:hAnsiTheme="minorHAnsi" w:ascii="Droid Sans Mono;monospace;monospace" w:hAnsi="Droid Sans Mono;monospace;monospace"/>
          <w:b w:val="false"/>
          <w:color w:val="CCCCCC"/>
          <w:sz w:val="21"/>
          <w:shd w:fill="1F1F1F" w:val="clear"/>
        </w:rPr>
        <w:t>,</w:t>
      </w:r>
      <w:r>
        <w:rPr>
          <w:rFonts w:asciiTheme="minorHAnsi" w:cstheme="minorBidi" w:eastAsiaTheme="minorHAnsi" w:hAnsiTheme="minorHAnsi" w:ascii="Droid Sans Mono;monospace;monospace" w:hAnsi="Droid Sans Mono;monospace;monospace"/>
          <w:b w:val="false"/>
          <w:color w:val="B5CEA8"/>
          <w:sz w:val="21"/>
          <w:shd w:fill="1F1F1F" w:val="clear"/>
        </w:rPr>
        <w:t>6</w:t>
      </w:r>
      <w:r>
        <w:rPr>
          <w:rFonts w:asciiTheme="minorHAnsi" w:cstheme="minorBidi" w:eastAsiaTheme="minorHAnsi" w:hAnsiTheme="minorHAnsi"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title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'Grafico de la función diferencia de los lados'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4EC9B0"/>
          <w:sz w:val="21"/>
          <w:shd w:fill="1F1F1F" w:val="clear"/>
        </w:rPr>
        <w:t>plt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ylabel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'Diferencia de edades'</w:t>
      </w:r>
      <w:r>
        <w:rPr>
          <w:rFonts w:ascii="Droid Sans Mono;monospace;monospace" w:hAnsi="Droid Sans Mono;monospace;monospace"/>
          <w:b w:val="false"/>
          <w:color w:val="CCCCCC"/>
          <w:sz w:val="21"/>
          <w:shd w:fill="1F1F1F"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xlabel</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'edad actual del hijo'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plot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edades_actuales_posibles_del_hijo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diferencia_de_edades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color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E9178"/>
          <w:sz w:val="21"/>
          <w:shd w:fill="auto" w:val="clear"/>
        </w:rPr>
        <w:t>'red'</w:t>
      </w:r>
      <w:r>
        <w:rPr>
          <w:rFonts w:asciiTheme="minorHAnsi" w:cstheme="minorBidi" w:eastAsiaTheme="minorHAnsi" w:hAnsiTheme="minorHAnsi" w:ascii="Droid Sans Mono;monospace;monospace" w:hAnsi="Droid Sans Mono;monospace;monospace"/>
          <w:b w:val="false"/>
          <w:color w:val="CCCCCC"/>
          <w:sz w:val="21"/>
          <w:shd w:fill="auto" w:val="clear"/>
        </w:rPr>
        <w:t>,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label</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E9178"/>
          <w:sz w:val="21"/>
          <w:shd w:fill="auto" w:val="clear"/>
        </w:rPr>
        <w:t>'Diferencias posibles de edades dentro de quince años'</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axhline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xmin</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xmax</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b</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color</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E9178"/>
          <w:sz w:val="21"/>
          <w:shd w:fill="auto" w:val="clear"/>
        </w:rPr>
        <w:t>'green'</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grid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alpha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0.4</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legend</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savefig</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'/home/marco/Documentos/docencia/calculo/referents/1_precalculo_stewart/1_fundamentos/1_5_ecuaciones/6_propuesta_presentada_congreso_humanos_XXI/3_este_articulo_en_cuaderno_jupyter/2_imagenes_de_este_articulo/figura_2.jpg'</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4EC9B0"/>
          <w:sz w:val="21"/>
          <w:shd w:fill="auto" w:val="clear"/>
        </w:rPr>
        <w:t>plt</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show</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p>
    <w:p>
      <w:pPr>
        <w:pStyle w:val="Normal"/>
        <w:ind w:right="-1"/>
        <w:rPr>
          <w:b/>
          <w:bCs/>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b/>
          <w:bCs/>
        </w:rPr>
      </w:r>
    </w:p>
    <w:p>
      <w:pPr>
        <w:pStyle w:val="Normal"/>
        <w:ind w:right="-1"/>
        <w:rPr>
          <w:rFonts w:ascii="Open Sans" w:hAnsi="Open Sans" w:eastAsia="Open Sans" w:cs="Open Sans"/>
          <w:sz w:val="20"/>
          <w:szCs w:val="20"/>
          <w:lang w:val="es-CO"/>
        </w:rPr>
      </w:pPr>
      <w:r>
        <w:rPr>
          <w:b/>
          <w:bCs/>
        </w:rPr>
      </w:r>
    </w:p>
    <w:p>
      <w:pPr>
        <w:pStyle w:val="Normal"/>
        <w:ind w:right="-1"/>
        <w:jc w:val="center"/>
        <w:rPr>
          <w:b/>
          <w:bCs/>
        </w:rPr>
      </w:pPr>
      <w:r>
        <w:rPr>
          <w:rFonts w:eastAsia="Open Sans" w:cs="Open Sans" w:ascii="Open Sans" w:hAnsi="Open Sans"/>
          <w:b/>
          <w:bCs/>
          <w:sz w:val="20"/>
          <w:szCs w:val="20"/>
          <w:lang w:val="es-CO"/>
        </w:rPr>
        <w:t xml:space="preserve">Figura 2  </w:t>
      </w:r>
    </w:p>
    <w:p>
      <w:pPr>
        <w:pStyle w:val="Normal"/>
        <w:ind w:right="-1"/>
        <w:rPr>
          <w:rFonts w:ascii="Open Sans" w:hAnsi="Open Sans" w:eastAsia="Open Sans" w:cs="Open Sans"/>
          <w:sz w:val="20"/>
          <w:szCs w:val="20"/>
          <w:lang w:val="es-CO"/>
        </w:rPr>
      </w:pPr>
      <w:r>
        <w:rPr>
          <w:b/>
          <w:bCs/>
        </w:rPr>
      </w:r>
    </w:p>
    <w:p>
      <w:pPr>
        <w:pStyle w:val="Normal"/>
        <w:ind w:right="-1"/>
        <w:rPr>
          <w:b/>
          <w:bCs/>
        </w:rPr>
      </w:pPr>
      <w:r>
        <w:rPr>
          <w:rFonts w:eastAsia="Open Sans" w:cs="Open Sans" w:ascii="Open Sans" w:hAnsi="Open Sans"/>
          <w:b/>
          <w:bCs/>
          <w:sz w:val="20"/>
          <w:szCs w:val="20"/>
          <w:lang w:val="es-CO"/>
        </w:rPr>
        <w:t xml:space="preserve">Interpretemos el gráfico anterior. Note que la solución es el punto de intersección del gráfico de la función diferencia con el eje horizontal. Por lo tanto, podemos ver que la solución del problema es: edad actual del hijo de 15 años, de donde la edad actual del padre es 45.  </w:t>
      </w:r>
    </w:p>
    <w:p>
      <w:pPr>
        <w:pStyle w:val="Normal"/>
        <w:ind w:right="-1"/>
        <w:rPr>
          <w:rFonts w:ascii="Open Sans" w:hAnsi="Open Sans" w:eastAsia="Open Sans" w:cs="Open Sans"/>
          <w:sz w:val="20"/>
          <w:szCs w:val="20"/>
          <w:lang w:val="es-CO"/>
        </w:rPr>
      </w:pPr>
      <w:r>
        <w:rPr>
          <w:b/>
          <w:bCs/>
        </w:rPr>
      </w:r>
    </w:p>
    <w:p>
      <w:pPr>
        <w:pStyle w:val="Normal"/>
        <w:ind w:right="-1"/>
        <w:rPr>
          <w:rFonts w:ascii="Open Sans" w:hAnsi="Open Sans" w:eastAsia="Open Sans" w:cs="Open Sans"/>
          <w:sz w:val="20"/>
          <w:szCs w:val="20"/>
          <w:lang w:val="es-CO"/>
        </w:rPr>
      </w:pPr>
      <w:r>
        <w:rPr>
          <w:b/>
          <w:bCs/>
        </w:rPr>
      </w:r>
    </w:p>
    <w:p>
      <w:pPr>
        <w:pStyle w:val="Normal"/>
        <w:ind w:right="-1"/>
        <w:rPr>
          <w:b/>
          <w:bCs/>
        </w:rPr>
      </w:pPr>
      <w:r>
        <w:rPr>
          <w:rFonts w:eastAsia="Open Sans" w:cs="Open Sans" w:ascii="Open Sans" w:hAnsi="Open Sans"/>
          <w:b/>
          <w:bCs/>
          <w:sz w:val="20"/>
          <w:szCs w:val="20"/>
          <w:lang w:val="es-CO"/>
        </w:rPr>
        <w:t>Actividad 3: Solución de ecuaciones mediante gráficos interactivos**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Con Ipywidgets y Plotly, los estudiantes interactúan con gráficos de funciones, ajustando parámetros para observar cómo cambian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Usar un slider para modificar los coeficientes de la ecuación cuadrática h(x) = ax^2 + bx + c y encontrar los valores de  x  que satisfacen  h(x)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recopilan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k es una constante de proporcionalidad, los estudiantes pueden crear una tabla de valores seleccionando diferentes valores de x y calculando los correspondientes valores de y.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Funciones Lineales: </w:t>
      </w:r>
      <w:r>
        <w:rPr>
          <w:rFonts w:eastAsia="Open Sans" w:cs="Open Sans" w:ascii="Open Sans" w:hAnsi="Open Sans"/>
          <w:sz w:val="20"/>
          <w:szCs w:val="20"/>
          <w:lang w:val="es-CO"/>
        </w:rPr>
        <w:t>Considere la función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Lectura de Tablas</w:t>
      </w:r>
      <w:r>
        <w:rPr>
          <w:rFonts w:eastAsia="Open Sans" w:cs="Open Sans" w:ascii="Open Sans" w:hAnsi="Open Sans"/>
          <w:sz w:val="20"/>
          <w:szCs w:val="20"/>
          <w:lang w:val="es-CO"/>
        </w:rPr>
        <w:t>: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Interpretación de Gráficas</w:t>
      </w:r>
      <w:r>
        <w:rPr>
          <w:rFonts w:eastAsia="Open Sans" w:cs="Open Sans" w:ascii="Open Sans" w:hAnsi="Open Sans"/>
          <w:sz w:val="20"/>
          <w:szCs w:val="20"/>
          <w:lang w:val="es-CO"/>
        </w:rPr>
        <w:t>: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Comparación con Expresiones Algebraicas</w:t>
      </w:r>
      <w:r>
        <w:rPr>
          <w:rFonts w:eastAsia="Open Sans" w:cs="Open Sans" w:ascii="Open Sans" w:hAnsi="Open Sans"/>
          <w:sz w:val="20"/>
          <w:szCs w:val="20"/>
          <w:lang w:val="es-CO"/>
        </w:rPr>
        <w:t>: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Forma de las Gráficas:</w:t>
      </w:r>
      <w:r>
        <w:rPr>
          <w:rFonts w:eastAsia="Open Sans" w:cs="Open Sans" w:ascii="Open Sans" w:hAnsi="Open Sans"/>
          <w:sz w:val="20"/>
          <w:szCs w:val="20"/>
          <w:lang w:val="es-CO"/>
        </w:rPr>
        <w:t xml:space="preserve">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Comportamiento Asintótico:</w:t>
      </w:r>
      <w:r>
        <w:rPr>
          <w:rFonts w:eastAsia="Open Sans" w:cs="Open Sans" w:ascii="Open Sans" w:hAnsi="Open Sans"/>
          <w:sz w:val="20"/>
          <w:szCs w:val="20"/>
          <w:lang w:val="es-CO"/>
        </w:rPr>
        <w:t xml:space="preserve"> Cómo se comportan las funciones cuando  x tiende a infinito.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Características Especiales:</w:t>
      </w:r>
      <w:r>
        <w:rPr>
          <w:rFonts w:eastAsia="Open Sans" w:cs="Open Sans" w:ascii="Open Sans" w:hAnsi="Open Sans"/>
          <w:sz w:val="20"/>
          <w:szCs w:val="20"/>
          <w:lang w:val="es-CO"/>
        </w:rPr>
        <w:t xml:space="preserve">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x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g(x)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f(x) y g(x)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g(x).</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x que satisfacen la ecuación f(x) =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 y \(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Artículos y documentos en línea:</w:t>
      </w:r>
    </w:p>
    <w:p>
      <w:pPr>
        <w:pStyle w:val="Normal"/>
        <w:ind w:right="-1"/>
        <w:rPr>
          <w:b w:val="false"/>
          <w:bCs w:val="false"/>
        </w:rPr>
      </w:pPr>
      <w:r>
        <w:rPr>
          <w:b w:val="false"/>
          <w:bCs w:val="false"/>
        </w:rPr>
      </w:r>
    </w:p>
    <w:p>
      <w:pPr>
        <w:pStyle w:val="Normal"/>
        <w:ind w:right="-1"/>
        <w:rPr>
          <w:b w:val="false"/>
          <w:bCs w:val="false"/>
        </w:rPr>
      </w:pPr>
      <w:r>
        <w:rPr>
          <w:rFonts w:eastAsia="Open Sans" w:cs="Open Sans" w:ascii="Open Sans" w:hAnsi="Open Sans"/>
          <w:b w:val="false"/>
          <w:bCs w:val="false"/>
          <w:sz w:val="20"/>
          <w:szCs w:val="20"/>
          <w:lang w:val="es-CO"/>
        </w:rPr>
        <w:t xml:space="preserve">1. Borba, M. C., &amp; Villareal, M. E. (2005). </w:t>
      </w:r>
      <w:r>
        <w:rPr>
          <w:rFonts w:eastAsia="Open Sans" w:cs="Open Sans" w:ascii="Open Sans" w:hAnsi="Open Sans"/>
          <w:b w:val="false"/>
          <w:bCs w:val="false"/>
          <w:i/>
          <w:iCs/>
          <w:sz w:val="20"/>
          <w:szCs w:val="20"/>
          <w:lang w:val="es-CO"/>
        </w:rPr>
        <w:t>Humans-with-media and the reorganization of mathematical thinking: Information and communication technologies, modeling, visualization, and experimentation</w:t>
      </w:r>
      <w:r>
        <w:rPr>
          <w:rFonts w:eastAsia="Open Sans" w:cs="Open Sans" w:ascii="Open Sans" w:hAnsi="Open Sans"/>
          <w:b w:val="false"/>
          <w:bCs w:val="false"/>
          <w:sz w:val="20"/>
          <w:szCs w:val="20"/>
          <w:lang w:val="es-CO"/>
        </w:rPr>
        <w:t>. Springer.</w:t>
      </w:r>
    </w:p>
    <w:p>
      <w:pPr>
        <w:pStyle w:val="Normal"/>
        <w:ind w:right="-1"/>
        <w:rPr>
          <w:rFonts w:ascii="Open Sans" w:hAnsi="Open Sans" w:eastAsia="Open Sans" w:cs="Open Sans"/>
          <w:sz w:val="20"/>
          <w:szCs w:val="20"/>
          <w:lang w:val="es-CO"/>
        </w:rPr>
      </w:pPr>
      <w:r>
        <w:rPr>
          <w:b w:val="false"/>
          <w:bCs w:val="false"/>
        </w:rPr>
      </w:r>
    </w:p>
    <w:p>
      <w:pPr>
        <w:pStyle w:val="Normal"/>
        <w:ind w:right="-1"/>
        <w:rPr>
          <w:b w:val="false"/>
          <w:bCs w:val="false"/>
        </w:rPr>
      </w:pPr>
      <w:r>
        <w:rPr>
          <w:rFonts w:eastAsia="Open Sans" w:cs="Open Sans" w:ascii="Open Sans" w:hAnsi="Open Sans"/>
          <w:b w:val="false"/>
          <w:bCs w:val="false"/>
          <w:sz w:val="20"/>
          <w:szCs w:val="20"/>
          <w:lang w:val="es-CO"/>
        </w:rPr>
        <w:t xml:space="preserve">2. Bruner, J. S. (1960). </w:t>
      </w:r>
      <w:r>
        <w:rPr>
          <w:rFonts w:eastAsia="Open Sans" w:cs="Open Sans" w:ascii="Open Sans" w:hAnsi="Open Sans"/>
          <w:b w:val="false"/>
          <w:bCs w:val="false"/>
          <w:i/>
          <w:iCs/>
          <w:sz w:val="20"/>
          <w:szCs w:val="20"/>
          <w:lang w:val="es-CO"/>
        </w:rPr>
        <w:t>The process of education</w:t>
      </w:r>
      <w:r>
        <w:rPr>
          <w:rFonts w:eastAsia="Open Sans" w:cs="Open Sans" w:ascii="Open Sans" w:hAnsi="Open Sans"/>
          <w:b w:val="false"/>
          <w:bCs w:val="false"/>
          <w:sz w:val="20"/>
          <w:szCs w:val="20"/>
          <w:lang w:val="es-CO"/>
        </w:rPr>
        <w:t>. Harvard University Press.</w:t>
      </w:r>
    </w:p>
    <w:p>
      <w:pPr>
        <w:pStyle w:val="Normal"/>
        <w:ind w:right="-1"/>
        <w:rPr>
          <w:rFonts w:ascii="Open Sans" w:hAnsi="Open Sans" w:eastAsia="Open Sans" w:cs="Open Sans"/>
          <w:sz w:val="20"/>
          <w:szCs w:val="20"/>
          <w:lang w:val="es-CO"/>
        </w:rPr>
      </w:pPr>
      <w:r>
        <w:rPr>
          <w:b w:val="false"/>
          <w:bCs w:val="false"/>
        </w:rPr>
      </w:r>
    </w:p>
    <w:p>
      <w:pPr>
        <w:pStyle w:val="Normal"/>
        <w:ind w:right="-1"/>
        <w:rPr>
          <w:b w:val="false"/>
          <w:bCs w:val="false"/>
        </w:rPr>
      </w:pPr>
      <w:r>
        <w:rPr>
          <w:rFonts w:eastAsia="Open Sans" w:cs="Open Sans" w:ascii="Open Sans" w:hAnsi="Open Sans"/>
          <w:b w:val="false"/>
          <w:bCs w:val="false"/>
          <w:sz w:val="20"/>
          <w:szCs w:val="20"/>
          <w:lang w:val="es-CO"/>
        </w:rPr>
        <w:t xml:space="preserve">3. Freire, P. (1970). </w:t>
      </w:r>
      <w:r>
        <w:rPr>
          <w:rFonts w:eastAsia="Open Sans" w:cs="Open Sans" w:ascii="Open Sans" w:hAnsi="Open Sans"/>
          <w:b w:val="false"/>
          <w:bCs w:val="false"/>
          <w:i/>
          <w:iCs/>
          <w:sz w:val="20"/>
          <w:szCs w:val="20"/>
          <w:lang w:val="es-CO"/>
        </w:rPr>
        <w:t>Pedagogy of the oppressed</w:t>
      </w:r>
      <w:r>
        <w:rPr>
          <w:rFonts w:eastAsia="Open Sans" w:cs="Open Sans" w:ascii="Open Sans" w:hAnsi="Open Sans"/>
          <w:b w:val="false"/>
          <w:bCs w:val="false"/>
          <w:sz w:val="20"/>
          <w:szCs w:val="20"/>
          <w:lang w:val="es-CO"/>
        </w:rPr>
        <w:t>. Continuum.</w:t>
      </w:r>
    </w:p>
    <w:p>
      <w:pPr>
        <w:pStyle w:val="Normal"/>
        <w:ind w:right="-1"/>
        <w:rPr>
          <w:rFonts w:ascii="Open Sans" w:hAnsi="Open Sans" w:eastAsia="Open Sans" w:cs="Open Sans"/>
          <w:sz w:val="20"/>
          <w:szCs w:val="20"/>
          <w:lang w:val="es-CO"/>
        </w:rPr>
      </w:pPr>
      <w:r>
        <w:rPr>
          <w:b w:val="false"/>
          <w:bCs w:val="false"/>
        </w:rPr>
      </w:r>
    </w:p>
    <w:p>
      <w:pPr>
        <w:pStyle w:val="Normal"/>
        <w:ind w:right="-1"/>
        <w:rPr>
          <w:b w:val="false"/>
          <w:bCs w:val="false"/>
        </w:rPr>
      </w:pPr>
      <w:r>
        <w:rPr>
          <w:rFonts w:eastAsia="Open Sans" w:cs="Open Sans" w:ascii="Open Sans" w:hAnsi="Open Sans"/>
          <w:b w:val="false"/>
          <w:bCs w:val="false"/>
          <w:sz w:val="20"/>
          <w:szCs w:val="20"/>
          <w:lang w:val="es-CO"/>
        </w:rPr>
        <w:t xml:space="preserve">4. Gabriel, F., Van Hoof, J., Gómez, D. M., &amp; Van Dooren, W. (2023). Obstacles in the development of the understanding of fractions. In </w:t>
      </w:r>
      <w:r>
        <w:rPr>
          <w:rFonts w:eastAsia="Open Sans" w:cs="Open Sans" w:ascii="Open Sans" w:hAnsi="Open Sans"/>
          <w:b w:val="false"/>
          <w:bCs w:val="false"/>
          <w:i/>
          <w:iCs/>
          <w:sz w:val="20"/>
          <w:szCs w:val="20"/>
          <w:lang w:val="es-CO"/>
        </w:rPr>
        <w:t>Mathematical cognition and understanding: Perspectives on mathematical minds in the elementary and middle school years</w:t>
      </w:r>
      <w:r>
        <w:rPr>
          <w:rFonts w:eastAsia="Open Sans" w:cs="Open Sans" w:ascii="Open Sans" w:hAnsi="Open Sans"/>
          <w:b w:val="false"/>
          <w:bCs w:val="false"/>
          <w:sz w:val="20"/>
          <w:szCs w:val="20"/>
          <w:lang w:val="es-CO"/>
        </w:rPr>
        <w:t xml:space="preserve"> (pp. 209-225). Springer International Publishing.</w:t>
      </w:r>
    </w:p>
    <w:p>
      <w:pPr>
        <w:pStyle w:val="Normal"/>
        <w:ind w:right="-1"/>
        <w:rPr>
          <w:rFonts w:ascii="Open Sans" w:hAnsi="Open Sans" w:eastAsia="Open Sans" w:cs="Open Sans"/>
          <w:sz w:val="20"/>
          <w:szCs w:val="20"/>
          <w:lang w:val="es-CO"/>
        </w:rPr>
      </w:pPr>
      <w:r>
        <w:rPr>
          <w:b w:val="false"/>
          <w:bCs w:val="false"/>
        </w:rPr>
      </w:r>
    </w:p>
    <w:p>
      <w:pPr>
        <w:pStyle w:val="Normal"/>
        <w:ind w:right="-1"/>
        <w:rPr>
          <w:b w:val="false"/>
          <w:bCs w:val="false"/>
        </w:rPr>
      </w:pPr>
      <w:r>
        <w:rPr>
          <w:rFonts w:eastAsia="Open Sans" w:cs="Open Sans" w:ascii="Open Sans" w:hAnsi="Open Sans"/>
          <w:b w:val="false"/>
          <w:bCs w:val="false"/>
          <w:sz w:val="20"/>
          <w:szCs w:val="20"/>
          <w:lang w:val="es-CO"/>
        </w:rPr>
        <w:t>5. Guzman, M. (2002). *The role of visualization in the teaching and learning of mathematical analysis*. In A. Bishop et al. (Eds.), *Second international handbook of mathematics education* (pp. 695-718). Springer.</w:t>
      </w:r>
    </w:p>
    <w:p>
      <w:pPr>
        <w:pStyle w:val="Normal"/>
        <w:ind w:right="-1"/>
        <w:rPr>
          <w:b w:val="false"/>
          <w:bCs w:val="false"/>
        </w:rPr>
      </w:pPr>
      <w:r>
        <w:rPr>
          <w:rFonts w:eastAsia="Open Sans" w:cs="Open Sans" w:ascii="Open Sans" w:hAnsi="Open Sans"/>
          <w:b w:val="false"/>
          <w:bCs w:val="false"/>
          <w:sz w:val="20"/>
          <w:szCs w:val="20"/>
          <w:lang w:val="es-CO"/>
        </w:rPr>
        <w:t>6. Hiebert, J., &amp; Carpenter, T. P. (1992). *Learning and teaching with understanding*. In D. A. Grouws (Ed.), *Handbook of research on mathematics teaching and learning* (pp. 65-97). Macmillan.</w:t>
      </w:r>
    </w:p>
    <w:p>
      <w:pPr>
        <w:pStyle w:val="Normal"/>
        <w:ind w:right="-1"/>
        <w:rPr>
          <w:b w:val="false"/>
          <w:bCs w:val="false"/>
        </w:rPr>
      </w:pPr>
      <w:r>
        <w:rPr>
          <w:rFonts w:eastAsia="Open Sans" w:cs="Open Sans" w:ascii="Open Sans" w:hAnsi="Open Sans"/>
          <w:b w:val="false"/>
          <w:bCs w:val="false"/>
          <w:sz w:val="20"/>
          <w:szCs w:val="20"/>
          <w:lang w:val="es-CO"/>
        </w:rPr>
        <w:t>7. Hoffman, B. (2014). *Teaching and learning mathematics through variation: Confucian heritage meets Western theories*. Springer.</w:t>
      </w:r>
    </w:p>
    <w:p>
      <w:pPr>
        <w:pStyle w:val="Normal"/>
        <w:ind w:right="-1"/>
        <w:rPr>
          <w:b w:val="false"/>
          <w:bCs w:val="false"/>
        </w:rPr>
      </w:pPr>
      <w:r>
        <w:rPr>
          <w:rFonts w:eastAsia="Open Sans" w:cs="Open Sans" w:ascii="Open Sans" w:hAnsi="Open Sans"/>
          <w:b w:val="false"/>
          <w:bCs w:val="false"/>
          <w:sz w:val="20"/>
          <w:szCs w:val="20"/>
          <w:lang w:val="es-CO"/>
        </w:rPr>
        <w:t>8. Papert, S. (1980). *Mindstorms: Children, computers, and powerful ideas*. Basic Books.</w:t>
      </w:r>
    </w:p>
    <w:p>
      <w:pPr>
        <w:pStyle w:val="Normal"/>
        <w:ind w:right="-1"/>
        <w:rPr>
          <w:b w:val="false"/>
          <w:bCs w:val="false"/>
        </w:rPr>
      </w:pPr>
      <w:r>
        <w:rPr>
          <w:rFonts w:eastAsia="Open Sans" w:cs="Open Sans" w:ascii="Open Sans" w:hAnsi="Open Sans"/>
          <w:b w:val="false"/>
          <w:bCs w:val="false"/>
          <w:sz w:val="20"/>
          <w:szCs w:val="20"/>
          <w:lang w:val="es-CO"/>
        </w:rPr>
        <w:t>9. Piaget, J. (1952). *The origins of intelligence in children*. International Universities Press.</w:t>
      </w:r>
    </w:p>
    <w:p>
      <w:pPr>
        <w:pStyle w:val="Normal"/>
        <w:ind w:right="-1"/>
        <w:rPr>
          <w:b w:val="false"/>
          <w:bCs w:val="false"/>
        </w:rPr>
      </w:pPr>
      <w:r>
        <w:rPr>
          <w:rFonts w:eastAsia="Open Sans" w:cs="Open Sans" w:ascii="Open Sans" w:hAnsi="Open Sans"/>
          <w:b w:val="false"/>
          <w:bCs w:val="false"/>
          <w:sz w:val="20"/>
          <w:szCs w:val="20"/>
          <w:lang w:val="es-CO"/>
        </w:rPr>
        <w:t>10. Project Jupyter. (n.d.). Retrieved from https://jupyter.org</w:t>
      </w:r>
    </w:p>
    <w:p>
      <w:pPr>
        <w:pStyle w:val="Normal"/>
        <w:ind w:right="-1"/>
        <w:rPr>
          <w:b w:val="false"/>
          <w:bCs w:val="false"/>
        </w:rPr>
      </w:pPr>
      <w:r>
        <w:rPr>
          <w:rFonts w:eastAsia="Open Sans" w:cs="Open Sans" w:ascii="Open Sans" w:hAnsi="Open Sans"/>
          <w:b w:val="false"/>
          <w:bCs w:val="false"/>
          <w:sz w:val="20"/>
          <w:szCs w:val="20"/>
          <w:lang w:val="es-CO"/>
        </w:rPr>
        <w:t>11. Tall, D. (2004). Thinking through three worlds of mathematics. In M. J. Hoines &amp; A. B. Fuglestad (Eds.), *Proceedings of the 28th conference of the International Group for the Psychology of Mathematics Education* (pp. 281-288).</w:t>
      </w:r>
    </w:p>
    <w:p>
      <w:pPr>
        <w:pStyle w:val="Normal"/>
        <w:ind w:right="-1"/>
        <w:rPr>
          <w:b w:val="false"/>
          <w:bCs w:val="false"/>
        </w:rPr>
      </w:pPr>
      <w:r>
        <w:rPr>
          <w:rFonts w:eastAsia="Open Sans" w:cs="Open Sans" w:ascii="Open Sans" w:hAnsi="Open Sans"/>
          <w:b w:val="false"/>
          <w:bCs w:val="false"/>
          <w:sz w:val="20"/>
          <w:szCs w:val="20"/>
          <w:lang w:val="es-CO"/>
        </w:rPr>
        <w:t xml:space="preserve">12. Vygotsky, L. S. (1978). </w:t>
      </w:r>
      <w:r>
        <w:rPr>
          <w:rFonts w:eastAsia="Open Sans" w:cs="Open Sans" w:ascii="Open Sans" w:hAnsi="Open Sans"/>
          <w:b w:val="false"/>
          <w:bCs w:val="false"/>
          <w:i/>
          <w:iCs/>
          <w:sz w:val="20"/>
          <w:szCs w:val="20"/>
          <w:lang w:val="es-CO"/>
        </w:rPr>
        <w:t>Mind in society: The development of higher psychological processes.</w:t>
      </w:r>
      <w:r>
        <w:rPr>
          <w:rFonts w:eastAsia="Open Sans" w:cs="Open Sans" w:ascii="Open Sans" w:hAnsi="Open Sans"/>
          <w:b w:val="false"/>
          <w:bCs w:val="false"/>
          <w:sz w:val="20"/>
          <w:szCs w:val="20"/>
          <w:lang w:val="es-CO"/>
        </w:rPr>
        <w:t xml:space="preserve"> Harvard University Press.</w:t>
      </w:r>
    </w:p>
    <w:p>
      <w:pPr>
        <w:pStyle w:val="Normal"/>
        <w:ind w:right="-1"/>
        <w:rPr>
          <w:b w:val="false"/>
          <w:bCs w:val="false"/>
        </w:rPr>
      </w:pPr>
      <w:r>
        <w:rPr>
          <w:b w:val="false"/>
          <w:bCs w:val="false"/>
        </w:rPr>
      </w:r>
    </w:p>
    <w:p>
      <w:pPr>
        <w:pStyle w:val="Normal"/>
        <w:ind w:right="-1"/>
        <w:rPr>
          <w:b/>
          <w:bCs/>
        </w:rPr>
      </w:pPr>
      <w:r>
        <w:rPr>
          <w:rFonts w:eastAsia="Open Sans" w:cs="Open Sans" w:ascii="Open Sans" w:hAnsi="Open Sans"/>
          <w:b/>
          <w:bCs/>
          <w:sz w:val="20"/>
          <w:szCs w:val="20"/>
          <w:lang w:val="es-CO"/>
        </w:rPr>
        <w:t>Artículos en línea con URL:</w:t>
      </w:r>
    </w:p>
    <w:p>
      <w:pPr>
        <w:pStyle w:val="Normal"/>
        <w:ind w:right="-1"/>
        <w:rPr>
          <w:b w:val="false"/>
          <w:bCs w:val="false"/>
        </w:rPr>
      </w:pPr>
      <w:r>
        <w:rPr>
          <w:b w:val="false"/>
          <w:bCs w:val="false"/>
        </w:rPr>
      </w:r>
    </w:p>
    <w:p>
      <w:pPr>
        <w:pStyle w:val="Normal"/>
        <w:ind w:right="-1"/>
        <w:rPr>
          <w:b w:val="false"/>
          <w:bCs w:val="false"/>
        </w:rPr>
      </w:pPr>
      <w:r>
        <w:rPr>
          <w:rFonts w:eastAsia="Open Sans" w:cs="Open Sans" w:ascii="Open Sans" w:hAnsi="Open Sans"/>
          <w:b w:val="false"/>
          <w:bCs w:val="false"/>
          <w:sz w:val="20"/>
          <w:szCs w:val="20"/>
          <w:lang w:val="es-CO"/>
        </w:rPr>
        <w:t>1. "Teaching Strategies to Improve Algebra Learning." (n.d.). *JSTOR*. https://www.jstor.org/stable/10.3102/0013189X14551945</w:t>
      </w:r>
    </w:p>
    <w:p>
      <w:pPr>
        <w:pStyle w:val="Normal"/>
        <w:ind w:right="-1"/>
        <w:rPr>
          <w:b w:val="false"/>
          <w:bCs w:val="false"/>
        </w:rPr>
      </w:pPr>
      <w:r>
        <w:rPr>
          <w:rFonts w:eastAsia="Open Sans" w:cs="Open Sans" w:ascii="Open Sans" w:hAnsi="Open Sans"/>
          <w:b w:val="false"/>
          <w:bCs w:val="false"/>
          <w:sz w:val="20"/>
          <w:szCs w:val="20"/>
          <w:lang w:val="es-CO"/>
        </w:rPr>
        <w:t>2. "A Systematic Review on Algebraic Thinking in Education." (n.d.). *ERIC*. https://files.eric.ed.gov/fulltext/ED590182.pdf</w:t>
      </w:r>
    </w:p>
    <w:p>
      <w:pPr>
        <w:pStyle w:val="Normal"/>
        <w:ind w:right="-1"/>
        <w:rPr>
          <w:b w:val="false"/>
          <w:bCs w:val="false"/>
        </w:rPr>
      </w:pPr>
      <w:r>
        <w:rPr>
          <w:rFonts w:eastAsia="Open Sans" w:cs="Open Sans" w:ascii="Open Sans" w:hAnsi="Open Sans"/>
          <w:b w:val="false"/>
          <w:bCs w:val="false"/>
          <w:sz w:val="20"/>
          <w:szCs w:val="20"/>
          <w:lang w:val="es-CO"/>
        </w:rPr>
        <w:t>3. "Algebra Teaching and Learning." (n.d.). *SpringerLink*. https://link.springer.com/book/10.1007/978-3-319-32260-5</w:t>
      </w:r>
    </w:p>
    <w:p>
      <w:pPr>
        <w:pStyle w:val="Normal"/>
        <w:ind w:right="-1"/>
        <w:rPr>
          <w:b w:val="false"/>
          <w:bCs w:val="false"/>
        </w:rPr>
      </w:pPr>
      <w:r>
        <w:rPr>
          <w:rFonts w:eastAsia="Open Sans" w:cs="Open Sans" w:ascii="Open Sans" w:hAnsi="Open Sans"/>
          <w:b w:val="false"/>
          <w:bCs w:val="false"/>
          <w:sz w:val="20"/>
          <w:szCs w:val="20"/>
          <w:lang w:val="es-CO"/>
        </w:rPr>
        <w:t>4. "Students’ Difficulties, Conceptions and Attitudes Towards Algebra." (n.d.). *Curtin University*. https://espace.curtin.edu.au/handle/20.500.11937/29247</w:t>
      </w:r>
    </w:p>
    <w:p>
      <w:pPr>
        <w:pStyle w:val="Normal"/>
        <w:ind w:right="-1"/>
        <w:rPr>
          <w:b/>
          <w:bCs/>
        </w:rPr>
      </w:pPr>
      <w:r>
        <w:rPr>
          <w:rFonts w:eastAsia="Open Sans" w:cs="Open Sans" w:ascii="Open Sans" w:hAnsi="Open Sans"/>
          <w:b w:val="false"/>
          <w:bCs w:val="false"/>
          <w:sz w:val="20"/>
          <w:szCs w:val="20"/>
          <w:lang w:val="es-CO"/>
        </w:rPr>
        <w:t>5. "Solving Equations: The Transition from Arithmetic to Algebra." (n.d.). *Academia.edu*. https://www.academia.edu/28698487/Solving_Equations_The_Transition_from_Arithmetic_to_Algebra</w:t>
      </w:r>
    </w:p>
    <w:p>
      <w:pPr>
        <w:pStyle w:val="Normal"/>
        <w:ind w:right="-1"/>
        <w:rPr>
          <w:b w:val="false"/>
          <w:bCs w:val="false"/>
        </w:rPr>
      </w:pPr>
      <w:r>
        <w:rPr>
          <w:b w:val="false"/>
          <w:bCs w:val="false"/>
        </w:rPr>
      </w:r>
    </w:p>
    <w:p>
      <w:pPr>
        <w:pStyle w:val="Normal"/>
        <w:ind w:right="-1"/>
        <w:rPr>
          <w:b/>
          <w:bCs/>
        </w:rPr>
      </w:pPr>
      <w:r>
        <w:rPr>
          <w:rFonts w:eastAsia="Open Sans" w:cs="Open Sans" w:ascii="Open Sans" w:hAnsi="Open Sans"/>
          <w:b/>
          <w:bCs/>
          <w:sz w:val="20"/>
          <w:szCs w:val="20"/>
          <w:lang w:val="es-CO"/>
        </w:rPr>
        <w:t>Libros:</w:t>
      </w:r>
    </w:p>
    <w:p>
      <w:pPr>
        <w:pStyle w:val="Normal"/>
        <w:ind w:right="-1"/>
        <w:rPr>
          <w:b w:val="false"/>
          <w:bCs w:val="false"/>
        </w:rPr>
      </w:pPr>
      <w:r>
        <w:rPr>
          <w:b w:val="false"/>
          <w:bCs w:val="false"/>
        </w:rPr>
      </w:r>
    </w:p>
    <w:p>
      <w:pPr>
        <w:pStyle w:val="Normal"/>
        <w:ind w:right="-1"/>
        <w:rPr>
          <w:b w:val="false"/>
          <w:bCs w:val="false"/>
        </w:rPr>
      </w:pPr>
      <w:r>
        <w:rPr>
          <w:rFonts w:eastAsia="Open Sans" w:cs="Open Sans" w:ascii="Open Sans" w:hAnsi="Open Sans"/>
          <w:b w:val="false"/>
          <w:bCs w:val="false"/>
          <w:sz w:val="20"/>
          <w:szCs w:val="20"/>
          <w:lang w:val="es-CO"/>
        </w:rPr>
        <w:t>1. Bergmann, J., &amp; Sams, A. (2012). *Flip your classroom: Reach every student in every class every day*. International Society for Technology in Education.</w:t>
      </w:r>
    </w:p>
    <w:p>
      <w:pPr>
        <w:pStyle w:val="Normal"/>
        <w:ind w:right="-1"/>
        <w:rPr>
          <w:b w:val="false"/>
          <w:bCs w:val="false"/>
        </w:rPr>
      </w:pPr>
      <w:r>
        <w:rPr>
          <w:rFonts w:eastAsia="Open Sans" w:cs="Open Sans" w:ascii="Open Sans" w:hAnsi="Open Sans"/>
          <w:b w:val="false"/>
          <w:bCs w:val="false"/>
          <w:sz w:val="20"/>
          <w:szCs w:val="20"/>
          <w:lang w:val="es-CO"/>
        </w:rPr>
        <w:t>2. Croft, T., &amp; Davison, R. (2006). *A guide to mathematical problem solving*. Pearson Education.</w:t>
      </w:r>
    </w:p>
    <w:p>
      <w:pPr>
        <w:pStyle w:val="Normal"/>
        <w:ind w:right="-1"/>
        <w:rPr>
          <w:b w:val="false"/>
          <w:bCs w:val="false"/>
        </w:rPr>
      </w:pPr>
      <w:r>
        <w:rPr>
          <w:rFonts w:eastAsia="Open Sans" w:cs="Open Sans" w:ascii="Open Sans" w:hAnsi="Open Sans"/>
          <w:b w:val="false"/>
          <w:bCs w:val="false"/>
          <w:sz w:val="20"/>
          <w:szCs w:val="20"/>
          <w:lang w:val="es-CO"/>
        </w:rPr>
        <w:t>3. Lage, M. J., Platt, G. J., &amp; Treglia, M. (2000). Inverting the classroom: A gateway to creating an inclusive learning environment. *The Journal of Economic Education, 31*(1), 30-43.</w:t>
      </w:r>
    </w:p>
    <w:p>
      <w:pPr>
        <w:pStyle w:val="Normal"/>
        <w:ind w:right="-1"/>
        <w:rPr>
          <w:b w:val="false"/>
          <w:bCs w:val="false"/>
        </w:rPr>
      </w:pPr>
      <w:r>
        <w:rPr>
          <w:rFonts w:eastAsia="Open Sans" w:cs="Open Sans" w:ascii="Open Sans" w:hAnsi="Open Sans"/>
          <w:b w:val="false"/>
          <w:bCs w:val="false"/>
          <w:sz w:val="20"/>
          <w:szCs w:val="20"/>
          <w:lang w:val="es-CO"/>
        </w:rPr>
        <w:t>4.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 w:name="KaTeX Main">
    <w:altName w:val="Times New Roman"/>
    <w:charset w:val="01"/>
    <w:family w:val="auto"/>
    <w:pitch w:val="default"/>
  </w:font>
  <w:font w:name="KaTeX Math">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17"/>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0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Characters17">
    <w:name w:val="Footnote Characters17"/>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Characters16">
    <w:name w:val="Endnote Characters16"/>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1087</TotalTime>
  <Application>LibreOffice/24.2.5.2$Linux_X86_64 LibreOffice_project/d6e8b0f3fc6e8af2b00cf4969fd0d2fa45b9a62e</Application>
  <AppVersion>15.0000</AppVersion>
  <Pages>19</Pages>
  <Words>7185</Words>
  <Characters>43213</Characters>
  <CharactersWithSpaces>50464</CharactersWithSpaces>
  <Paragraphs>569</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2024-08-20T21:23:47Z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