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Arial" w:hAnsi="Arial"/>
          <w:sz w:val="16"/>
          <w:szCs w:val="16"/>
        </w:rPr>
      </w:pPr>
      <w:r>
        <w:rPr>
          <w:rFonts w:eastAsia="Open Sans" w:cs="Open Sans" w:ascii="Arial" w:hAnsi="Arial"/>
          <w:sz w:val="16"/>
          <w:szCs w:val="16"/>
          <w:lang w:val="es-CO"/>
        </w:rPr>
        <w:t>Colombia</w:t>
      </w:r>
    </w:p>
    <w:p>
      <w:pPr>
        <w:pStyle w:val="Normal"/>
        <w:ind w:right="-1"/>
        <w:rPr>
          <w:rFonts w:ascii="Arial" w:hAnsi="Arial"/>
          <w:sz w:val="16"/>
          <w:szCs w:val="16"/>
        </w:rPr>
      </w:pPr>
      <w:r>
        <w:rPr>
          <w:rFonts w:eastAsia="Open Sans" w:cs="Open Sans" w:ascii="Arial" w:hAnsi="Arial"/>
          <w:b/>
          <w:bCs/>
          <w:spacing w:val="-1"/>
          <w:sz w:val="16"/>
          <w:szCs w:val="16"/>
          <w:lang w:val="es-CO"/>
        </w:rPr>
        <w:t xml:space="preserve">Resumen: </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Este artículo aborda la enseñanza de la resolución de ecuaciones a través del concepto de función, utilizando Python y cuadernos Jupyter. Propone un enfoque innovador que se aleja del razonamiento algebraico tradicional, privilegiando la observación, lectura e interpretación de representaciones tabulares y gráficas de funciones. Este enfoque busca mejorar la comprensión conceptual, la motivación de los estudiantes y su capacidad para aplicar la tecnología en el aprendizaje matemático. La implementación se basa en la visualización de funciones de manera tabular gráfica y la identificación de soluciones de ecuaciones mediante gráficos interactivos.</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color w:val="000000"/>
          <w:sz w:val="16"/>
          <w:szCs w:val="16"/>
          <w:highlight w:val="none"/>
          <w:shd w:fill="auto" w:val="clear"/>
        </w:rPr>
      </w:pPr>
      <w:r>
        <w:rPr>
          <w:rFonts w:asciiTheme="minorHAnsi" w:cstheme="minorBidi" w:eastAsiaTheme="minorHAnsi" w:hAnsiTheme="minorHAnsi" w:ascii="Arial" w:hAnsi="Arial"/>
          <w:b/>
          <w:color w:val="000000"/>
          <w:sz w:val="16"/>
          <w:szCs w:val="16"/>
          <w:shd w:fill="auto" w:val="clear"/>
        </w:rPr>
        <w:t>Palabras clave:</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Resolución de ecuaciones, igualdad de funciones, la función diferencia de los lados de una ecuación, Python, Jupyter Notebooks, representación tabular, visualización gráfica, enseñanza de matemáticas.</w:t>
      </w:r>
    </w:p>
    <w:p>
      <w:pPr>
        <w:pStyle w:val="Normal"/>
        <w:ind w:right="-1"/>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eastAsia="Open Sans" w:cs="Open Sans"/>
          <w:b/>
          <w:color w:val="000000"/>
          <w:sz w:val="16"/>
          <w:szCs w:val="16"/>
          <w:highlight w:val="none"/>
          <w:shd w:fill="auto" w:val="clear"/>
          <w:lang w:val="es-CO"/>
        </w:rPr>
      </w:pPr>
      <w:r>
        <w:rPr>
          <w:rFonts w:eastAsia="Open Sans" w:cs="Open Sans" w:ascii="Arial" w:hAnsi="Arial"/>
          <w:b/>
          <w:bCs/>
          <w:color w:val="000000"/>
          <w:spacing w:val="-1"/>
          <w:sz w:val="16"/>
          <w:szCs w:val="16"/>
          <w:shd w:fill="auto" w:val="clear"/>
          <w:lang w:val="es-CO"/>
        </w:rPr>
        <w:t>Abstract:</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This article addresses the teaching of equation solving through the concept of function, using Python and Jupyter Notebooks. It proposes an innovative approach that moves away from traditional algebraic reasoning, privileging the observation, reading and interpretation of tabular and graphical representations of functions. This approach seeks to improve conceptual understanding, student motivation and their ability to apply technology in mathematical learning. The implementation is based on the visualization of functions in a tabular graphical manner and the identification of equation solutions through interactive graphics.</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color w:val="000000"/>
          <w:sz w:val="16"/>
          <w:szCs w:val="16"/>
          <w:highlight w:val="none"/>
          <w:shd w:fill="auto" w:val="clear"/>
        </w:rPr>
      </w:pPr>
      <w:r>
        <w:rPr>
          <w:rFonts w:asciiTheme="minorHAnsi" w:cstheme="minorBidi" w:eastAsiaTheme="minorHAnsi" w:hAnsiTheme="minorHAnsi" w:ascii="Arial" w:hAnsi="Arial"/>
          <w:b/>
          <w:color w:val="000000"/>
          <w:sz w:val="16"/>
          <w:szCs w:val="16"/>
          <w:shd w:fill="auto" w:val="clear"/>
        </w:rPr>
        <w:t>Keywords:</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 xml:space="preserve">Equation solving, equality of functions, the function difference of the sides of an equation, Python, Jupyter Notebooks, tabular representation, graphical visualization, mathematics teaching.  </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Introducción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el Seminario en Didáctica de la Aritmética del semestre 2024-1, impartido a los estudiantes de licenciatura en matemáticas de la Universidad de Antioquia, Campus Caucasia, a un grupo de 15 estudiantes, se observaron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arial" w:hAnsi="arial"/>
          <w:b w:val="false"/>
          <w:bCs w:val="false"/>
          <w:i w:val="false"/>
          <w:iCs w:val="false"/>
          <w:spacing w:val="-1"/>
          <w:sz w:val="20"/>
          <w:szCs w:val="20"/>
          <w:lang w:val="es-CO"/>
        </w:rPr>
        <w:t xml:space="preserve">Muchos estudiantes presentan serias dificultades para comprender y aplicar el razonamiento algebraico. Esto se evidencia en su dificultad para manipular y simplificar expresiones algebraicas, resolver ecuaciones y entender las propiedades fundamentales de las operaciones algebraicas </w:t>
      </w:r>
      <w:r>
        <w:rPr>
          <w:rFonts w:eastAsia="Open Sans" w:cs="Open Sans" w:ascii="Open Sans" w:hAnsi="Open Sans"/>
          <w:b w:val="false"/>
          <w:bCs w:val="false"/>
          <w:i w:val="false"/>
          <w:iCs w:val="false"/>
          <w:spacing w:val="-1"/>
          <w:sz w:val="20"/>
          <w:szCs w:val="20"/>
          <w:lang w:val="es-CO"/>
        </w:rPr>
        <w:t>[1]</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El criterio de la balanza, que establece la equivalencia de ecuaciones cuando una se obtiene de la otra sumando la misma cantidad a ambos lados o multiplicando por la misma cantidad no nula a ambos lados, es desconocido o no utilizado por los estudiantes. Este criterio es esencial para entender la naturaleza de las ecuaciones y su resolución [2].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3. Dificultades con Términos Semejantes:</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[3].</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4.</w:t>
      </w:r>
      <w:r>
        <w:rPr>
          <w:rFonts w:eastAsia="Open Sans" w:cs="Open Sans" w:ascii="Arial" w:hAnsi="Arial"/>
          <w:b/>
          <w:bCs/>
          <w:color w:val="000000"/>
          <w:spacing w:val="-1"/>
          <w:sz w:val="20"/>
          <w:szCs w:val="20"/>
          <w:shd w:fill="auto" w:val="clear"/>
          <w:lang w:val="es-CO"/>
        </w:rPr>
        <w:t xml:space="preserve"> Problemas con Fracciones Algebraicas:</w:t>
      </w:r>
    </w:p>
    <w:p>
      <w:pPr>
        <w:pStyle w:val="Normal"/>
        <w:spacing w:lineRule="atLeast" w:line="285"/>
        <w:ind w:hanging="0" w:left="0" w:right="0"/>
        <w:rPr>
          <w:rFonts w:ascii="Arial" w:hAnsi="Arial"/>
          <w:sz w:val="20"/>
          <w:szCs w:val="20"/>
        </w:rPr>
      </w:pPr>
      <w:r>
        <w:rPr>
          <w:rFonts w:ascii="Arial" w:hAnsi="Arial" w:cstheme="minorBidi"/>
          <w:b w:val="false"/>
          <w:color w:val="000000"/>
          <w:sz w:val="20"/>
          <w:szCs w:val="20"/>
          <w:shd w:fill="auto" w:val="clear"/>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la solución de ecuaciones matemáticas</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[4]</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5. Variabilidad de Respuestas y Falta de Motivación:</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xml:space="preserve">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w:t>
      </w:r>
      <w:r>
        <w:rPr>
          <w:rFonts w:eastAsia="Open Sans" w:cs="Open Sans" w:ascii="Arial" w:hAnsi="Arial"/>
          <w:b w:val="false"/>
          <w:bCs w:val="false"/>
          <w:spacing w:val="-1"/>
          <w:sz w:val="20"/>
          <w:szCs w:val="20"/>
          <w:lang w:val="es-CO"/>
        </w:rPr>
        <w:t>[5]</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Propuesta de Innovación Didáctica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b/>
          <w:bCs/>
          <w:sz w:val="20"/>
          <w:szCs w:val="20"/>
        </w:rPr>
      </w:pPr>
      <w:r>
        <w:rPr>
          <w:rFonts w:eastAsia="Open Sans" w:cs="Open Sans" w:ascii="Arial" w:hAnsi="Arial"/>
          <w:b/>
          <w:bCs/>
          <w:spacing w:val="-1"/>
          <w:sz w:val="20"/>
          <w:szCs w:val="20"/>
          <w:lang w:val="es-CO"/>
        </w:rPr>
        <w:t xml:space="preserve">1. </w:t>
      </w:r>
      <w:r>
        <w:rPr>
          <w:rFonts w:eastAsia="Open Sans" w:cs="Open Sans" w:ascii="Arial" w:hAnsi="Arial"/>
          <w:b/>
          <w:bCs/>
          <w:color w:val="000000"/>
          <w:spacing w:val="-1"/>
          <w:sz w:val="20"/>
          <w:szCs w:val="20"/>
          <w:shd w:fill="auto" w:val="clear"/>
          <w:lang w:val="es-CO"/>
        </w:rPr>
        <w:t xml:space="preserve">Reforzar la Comprensión Conceptual: </w:t>
      </w:r>
    </w:p>
    <w:p>
      <w:pPr>
        <w:pStyle w:val="Normal"/>
        <w:spacing w:lineRule="atLeast" w:line="285"/>
        <w:ind w:hanging="0" w:left="0" w:right="0"/>
        <w:rPr>
          <w:rFonts w:ascii="Arial" w:hAnsi="Arial" w:cstheme="minorBidi"/>
          <w:b w:val="false"/>
          <w:color w:val="000000"/>
          <w:sz w:val="20"/>
          <w:szCs w:val="20"/>
          <w:highlight w:val="none"/>
          <w:shd w:fill="auto" w:val="clear"/>
        </w:rPr>
      </w:pPr>
      <w:r>
        <w:rPr>
          <w:rFonts w:asciiTheme="minorHAnsi" w:cstheme="minorBidi" w:eastAsiaTheme="minorHAnsi" w:hAnsiTheme="minorHAnsi" w:ascii="Arial" w:hAnsi="Arial"/>
          <w:b w:val="false"/>
          <w:color w:val="000000"/>
          <w:sz w:val="20"/>
          <w:szCs w:val="20"/>
          <w:shd w:fill="auto" w:val="clear"/>
        </w:rPr>
        <w:t xml:space="preserve">Vincular el concepto de ecuación con los conceptos de </w:t>
      </w:r>
      <w:r>
        <w:rPr>
          <w:rFonts w:asciiTheme="minorHAnsi" w:cstheme="minorBidi" w:eastAsiaTheme="minorHAnsi" w:hAnsiTheme="minorHAnsi" w:ascii="Arial" w:hAnsi="Arial"/>
          <w:b w:val="false"/>
          <w:color w:val="000000"/>
          <w:sz w:val="20"/>
          <w:szCs w:val="20"/>
          <w:shd w:fill="auto" w:val="clear"/>
        </w:rPr>
        <w:t>función, de igualdad de funciones asociadas a los lados de una ecuación y de diferencia de funciones de los lados de una ecuación, como base para la resolución de ecuaciones permite a los estudiantes visualizar de manera tabular y gráfica a estas funciones y así entender mejor las ecuaciones como igualdad de funciones o pregunta por los puntos donde, la función diferencia de los lados que forman la ecuación, se anula o se hace cero. Así, El uso de representaciones tabulares y gráficas facilita la solución de ecuaciones en los números reales.</w:t>
      </w:r>
      <w:r>
        <w:rPr>
          <w:rFonts w:asciiTheme="minorHAnsi" w:cstheme="minorBidi" w:eastAsiaTheme="minorHAnsi" w:hAnsiTheme="minorHAnsi" w:ascii="Arial" w:hAnsi="Arial"/>
          <w:b w:val="false"/>
          <w:color w:val="000000"/>
          <w:sz w:val="20"/>
          <w:szCs w:val="20"/>
          <w:shd w:fill="auto" w:val="clear"/>
        </w:rPr>
        <w:t>[6]</w:t>
      </w:r>
    </w:p>
    <w:p>
      <w:pPr>
        <w:pStyle w:val="Normal"/>
        <w:ind w:right="-1"/>
        <w:rPr>
          <w:rFonts w:ascii="Arial" w:hAnsi="Arial"/>
          <w:sz w:val="20"/>
          <w:szCs w:val="20"/>
        </w:rPr>
      </w:pPr>
      <w:r>
        <w:rPr>
          <w:rFonts w:ascii="Arial" w:hAnsi="Arial"/>
          <w:sz w:val="20"/>
          <w:szCs w:val="20"/>
        </w:rPr>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2. Utilizar Python y Jupyter Notebooks:</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w:t>
      </w:r>
      <w:r>
        <w:rPr>
          <w:rFonts w:eastAsia="Open Sans" w:cs="Open Sans" w:ascii="Arial" w:hAnsi="Arial"/>
          <w:b w:val="false"/>
          <w:bCs w:val="false"/>
          <w:spacing w:val="-1"/>
          <w:sz w:val="20"/>
          <w:szCs w:val="20"/>
          <w:lang w:val="es-CO"/>
        </w:rPr>
        <w:t>[7]</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3. Integración de la Tecnología en el Aprendizaje:</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xml:space="preserve">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w:t>
      </w:r>
      <w:r>
        <w:rPr>
          <w:rFonts w:eastAsia="Open Sans" w:cs="Open Sans" w:ascii="Arial" w:hAnsi="Arial"/>
          <w:b w:val="false"/>
          <w:bCs w:val="false"/>
          <w:spacing w:val="-1"/>
          <w:sz w:val="20"/>
          <w:szCs w:val="20"/>
          <w:lang w:val="es-CO"/>
        </w:rPr>
        <w:t>[8]</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4. Promover la Disciplina y la Motivación:</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Al involucrar a los estudiantes en actividades prácticas y proyectos interactivos, se fomenta la disciplina y la motivación. La realización de tareas de programación y el análisis de resultados en tiempo real pueden hacer que el aprendizaje sea más relevante y estimulante (Bruner, 1960).  </w:t>
      </w:r>
    </w:p>
    <w:p>
      <w:pPr>
        <w:pStyle w:val="Normal"/>
        <w:ind w:right="-1"/>
        <w:rPr>
          <w:rFonts w:ascii="Arial" w:hAnsi="Arial"/>
          <w:sz w:val="20"/>
          <w:szCs w:val="20"/>
        </w:rPr>
      </w:pPr>
      <w:r>
        <w:rPr>
          <w:rFonts w:ascii="Arial" w:hAnsi="Arial"/>
          <w:sz w:val="20"/>
          <w:szCs w:val="20"/>
        </w:rPr>
      </w:r>
    </w:p>
    <w:p>
      <w:pPr>
        <w:pStyle w:val="Normal"/>
        <w:ind w:right="-1"/>
        <w:rPr>
          <w:rFonts w:ascii="Arial" w:hAnsi="Arial"/>
          <w:b/>
          <w:bCs/>
          <w:sz w:val="20"/>
          <w:szCs w:val="20"/>
        </w:rPr>
      </w:pPr>
      <w:r>
        <w:rPr>
          <w:rFonts w:eastAsia="Open Sans" w:cs="Open Sans" w:ascii="Arial" w:hAnsi="Arial"/>
          <w:b/>
          <w:bCs/>
          <w:spacing w:val="-1"/>
          <w:sz w:val="20"/>
          <w:szCs w:val="20"/>
          <w:lang w:val="es-CO"/>
        </w:rPr>
        <w:t>5.</w:t>
      </w:r>
      <w:r>
        <w:rPr>
          <w:rFonts w:eastAsia="Open Sans" w:cs="Open Sans" w:ascii="Arial" w:hAnsi="Arial"/>
          <w:b/>
          <w:bCs/>
          <w:color w:val="000000"/>
          <w:spacing w:val="-1"/>
          <w:sz w:val="20"/>
          <w:szCs w:val="20"/>
          <w:shd w:fill="auto" w:val="clear"/>
          <w:lang w:val="es-CO"/>
        </w:rPr>
        <w:t xml:space="preserve"> </w:t>
      </w:r>
      <w:r>
        <w:rPr>
          <w:rFonts w:eastAsia="Open Sans" w:cs="Open Sans" w:ascii="Arial" w:hAnsi="Arial"/>
          <w:b/>
          <w:bCs/>
          <w:color w:val="000000"/>
          <w:spacing w:val="-1"/>
          <w:sz w:val="20"/>
          <w:szCs w:val="20"/>
          <w:shd w:fill="auto" w:val="clear"/>
          <w:lang w:val="es-CO"/>
        </w:rPr>
        <w:t xml:space="preserve">Presentar procedimientos únicos o unificadores  </w:t>
      </w:r>
    </w:p>
    <w:p>
      <w:pPr>
        <w:pStyle w:val="Normal"/>
        <w:ind w:right="-1"/>
        <w:rPr>
          <w:rFonts w:ascii="Arial" w:hAnsi="Arial"/>
          <w:sz w:val="20"/>
          <w:szCs w:val="20"/>
        </w:rPr>
      </w:pPr>
      <w:r>
        <w:rPr>
          <w:rFonts w:eastAsia="Open Sans" w:cs="Open Sans" w:ascii="Arial" w:hAnsi="Arial"/>
          <w:b w:val="false"/>
          <w:bCs w:val="false"/>
          <w:color w:val="000000"/>
          <w:spacing w:val="-1"/>
          <w:sz w:val="20"/>
          <w:szCs w:val="20"/>
          <w:shd w:fill="auto" w:val="clear"/>
          <w:lang w:val="es-CO"/>
        </w:rPr>
        <w:t xml:space="preserve">   </w:t>
      </w:r>
      <w:r>
        <w:rPr>
          <w:rFonts w:eastAsia="Open Sans" w:cs="Open Sans" w:ascii="Arial" w:hAnsi="Arial"/>
          <w:b w:val="false"/>
          <w:bCs w:val="false"/>
          <w:color w:val="000000"/>
          <w:spacing w:val="-1"/>
          <w:sz w:val="20"/>
          <w:szCs w:val="20"/>
          <w:shd w:fill="auto" w:val="clear"/>
          <w:lang w:val="es-CO"/>
        </w:rPr>
        <w:t xml:space="preserve">Presentar un procedimiento de solución de ecuaciones que sea aplicable a todas las ecuaciones que se presentan en pregrado. Dado que los métodos algebraicos de solución de ecuaciones dependen del tipo de ecuación a resolver, presentamos un método que es independiente del tipo de ecuación, lo que le facilita al estudiante la solución de ecuaciones, para fomentar el análisis de las soluciones y la toma de decisiones informada, que es lo que se busca al enseñar a plantear y resolver ecuaciones. </w:t>
      </w:r>
    </w:p>
    <w:p>
      <w:pPr>
        <w:pStyle w:val="Normal"/>
        <w:ind w:right="-1"/>
        <w:rPr>
          <w:rFonts w:ascii="Arial" w:hAnsi="Arial" w:cstheme="minorBidi"/>
          <w:color w:val="000000"/>
          <w:sz w:val="20"/>
          <w:szCs w:val="20"/>
          <w:highlight w:val="none"/>
          <w:shd w:fill="auto" w:val="clear"/>
        </w:rPr>
      </w:pPr>
      <w:r>
        <w:rPr>
          <w:rFonts w:asciiTheme="minorHAnsi" w:cstheme="minorBidi" w:eastAsiaTheme="minorHAnsi" w:hAnsiTheme="minorHAnsi" w:ascii="Arial" w:hAnsi="Arial"/>
          <w:color w:val="000000"/>
          <w:sz w:val="20"/>
          <w:szCs w:val="20"/>
          <w:shd w:fill="auto" w:val="clear"/>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 General:</w:t>
      </w:r>
      <w:r>
        <w:rPr>
          <w:rFonts w:eastAsia="Open Sans" w:cs="Open Sans" w:ascii="Open Sans" w:hAnsi="Open Sans"/>
          <w:b/>
          <w:bCs/>
          <w:spacing w:val="-1"/>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ipywidgets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1. </w:t>
      </w:r>
      <w:r>
        <w:rPr>
          <w:rFonts w:eastAsia="Open Sans" w:cs="Open Sans" w:ascii="Open Sans" w:hAnsi="Open Sans"/>
          <w:b w:val="false"/>
          <w:bCs w:val="false"/>
          <w:spacing w:val="-1"/>
          <w:sz w:val="18"/>
          <w:szCs w:val="18"/>
          <w:lang w:val="es-CO"/>
        </w:rPr>
        <w:t>Explorar el concepto de ecuaciones como comparaciones de funciones: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2. </w:t>
      </w:r>
      <w:r>
        <w:rPr>
          <w:rFonts w:eastAsia="Open Sans" w:cs="Open Sans" w:ascii="Open Sans" w:hAnsi="Open Sans"/>
          <w:b w:val="false"/>
          <w:bCs w:val="false"/>
          <w:spacing w:val="-1"/>
          <w:sz w:val="18"/>
          <w:szCs w:val="18"/>
          <w:lang w:val="es-CO"/>
        </w:rPr>
        <w:t>Mostrar la utilidad de las representaciones tabulares y gráficas: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3. </w:t>
      </w:r>
      <w:r>
        <w:rPr>
          <w:rFonts w:eastAsia="Open Sans" w:cs="Open Sans" w:ascii="Open Sans" w:hAnsi="Open Sans"/>
          <w:b w:val="false"/>
          <w:bCs w:val="false"/>
          <w:spacing w:val="-1"/>
          <w:sz w:val="18"/>
          <w:szCs w:val="18"/>
          <w:lang w:val="es-CO"/>
        </w:rPr>
        <w:t>Incorporar la tecnología en la enseñanza de ecuaciones: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4. </w:t>
      </w:r>
      <w:r>
        <w:rPr>
          <w:rFonts w:eastAsia="Open Sans" w:cs="Open Sans" w:ascii="Open Sans" w:hAnsi="Open Sans"/>
          <w:b w:val="false"/>
          <w:bCs w:val="false"/>
          <w:spacing w:val="-1"/>
          <w:sz w:val="18"/>
          <w:szCs w:val="18"/>
          <w:lang w:val="es-CO"/>
        </w:rPr>
        <w:t>Proponer un modelo de enseñanza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por métodos algebraicos,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Facilitación del Aprendizaje:</w:t>
      </w:r>
    </w:p>
    <w:p>
      <w:pPr>
        <w:pStyle w:val="Normal"/>
        <w:ind w:right="-1"/>
        <w:rPr>
          <w:b w:val="false"/>
          <w:bCs w:val="false"/>
        </w:rPr>
      </w:pPr>
      <w:r>
        <w:rPr>
          <w:rFonts w:eastAsia="Open Sans" w:cs="Open Sans" w:ascii="Open Sans" w:hAnsi="Open Sans"/>
          <w:b w:val="false"/>
          <w:bCs w:val="false"/>
          <w:spacing w:val="-1"/>
          <w:sz w:val="18"/>
          <w:szCs w:val="18"/>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Promoción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Acceso y Manipulación de Datos:</w:t>
      </w:r>
    </w:p>
    <w:p>
      <w:pPr>
        <w:pStyle w:val="Normal"/>
        <w:ind w:right="-1"/>
        <w:rPr>
          <w:b w:val="false"/>
          <w:bCs w:val="false"/>
        </w:rPr>
      </w:pPr>
      <w:r>
        <w:rPr>
          <w:rFonts w:eastAsia="Open Sans" w:cs="Open Sans" w:ascii="Open Sans" w:hAnsi="Open Sans"/>
          <w:b w:val="false"/>
          <w:bCs w:val="false"/>
          <w:spacing w:val="-1"/>
          <w:sz w:val="18"/>
          <w:szCs w:val="18"/>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Innovación y Creatividad:</w:t>
      </w:r>
    </w:p>
    <w:p>
      <w:pPr>
        <w:pStyle w:val="Normal"/>
        <w:ind w:right="-1"/>
        <w:rPr>
          <w:b w:val="false"/>
          <w:bCs w:val="false"/>
        </w:rPr>
      </w:pPr>
      <w:r>
        <w:rPr>
          <w:rFonts w:eastAsia="Open Sans" w:cs="Open Sans" w:ascii="Open Sans" w:hAnsi="Open Sans"/>
          <w:b w:val="false"/>
          <w:bCs w:val="false"/>
          <w:spacing w:val="-1"/>
          <w:sz w:val="18"/>
          <w:szCs w:val="18"/>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Simplicidad y Concisión:</w:t>
      </w:r>
      <w:r>
        <w:rPr>
          <w:rFonts w:eastAsia="Open Sans" w:cs="Open Sans" w:ascii="Open Sans" w:hAnsi="Open Sans"/>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h  representa la altura y  t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Abreviaturas y Legibilidad: </w:t>
      </w:r>
      <w:r>
        <w:rPr>
          <w:rFonts w:eastAsia="Open Sans" w:cs="Open Sans" w:ascii="Open Sans" w:hAnsi="Open Sans"/>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Python:</w:t>
      </w:r>
      <w:r>
        <w:rPr>
          <w:rFonts w:eastAsia="Open Sans" w:cs="Open Sans" w:ascii="Open Sans" w:hAnsi="Open Sans"/>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Python:</w:t>
      </w:r>
      <w:r>
        <w:rPr>
          <w:rFonts w:eastAsia="Open Sans" w:cs="Open Sans" w:ascii="Open Sans" w:hAnsi="Open Sans"/>
          <w:sz w:val="20"/>
          <w:szCs w:val="20"/>
          <w:lang w:val="es-CO"/>
        </w:rPr>
        <w:t xml:space="preserve">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Python: </w:t>
      </w:r>
      <w:r>
        <w:rPr>
          <w:rFonts w:eastAsia="Open Sans" w:cs="Open Sans" w:ascii="Open Sans" w:hAnsi="Open Sans"/>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NumPy:</w:t>
      </w:r>
      <w:r>
        <w:rPr>
          <w:rFonts w:eastAsia="Open Sans" w:cs="Open Sans" w:ascii="Open Sans" w:hAnsi="Open Sans"/>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Pandas:</w:t>
      </w:r>
      <w:r>
        <w:rPr>
          <w:rFonts w:eastAsia="Open Sans" w:cs="Open Sans" w:ascii="Open Sans" w:hAnsi="Open Sans"/>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Matplotlib y Plotly:</w:t>
      </w:r>
      <w:r>
        <w:rPr>
          <w:rFonts w:eastAsia="Open Sans" w:cs="Open Sans" w:ascii="Open Sans" w:hAnsi="Open Sans"/>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Ipywidgets:</w:t>
      </w:r>
      <w:r>
        <w:rPr>
          <w:rFonts w:eastAsia="Open Sans" w:cs="Open Sans" w:ascii="Open Sans" w:hAnsi="Open Sans"/>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 </w:t>
      </w:r>
      <w:r>
        <w:rPr>
          <w:rFonts w:eastAsia="Open Sans" w:cs="Open Sans" w:ascii="Open Sans" w:hAnsi="Open Sans"/>
          <w:b/>
          <w:bCs/>
          <w:color w:val="000000"/>
          <w:sz w:val="20"/>
          <w:szCs w:val="20"/>
          <w:shd w:fill="auto" w:val="clear"/>
          <w:lang w:val="es-CO"/>
        </w:rPr>
        <w:t xml:space="preserve">Actividad 1: </w:t>
      </w:r>
      <w:r>
        <w:rPr>
          <w:rFonts w:eastAsia="Open Sans" w:cs="Open Sans" w:ascii="Open Sans" w:hAnsi="Open Sans"/>
          <w:b w:val="false"/>
          <w:color w:val="000000"/>
          <w:sz w:val="20"/>
          <w:szCs w:val="20"/>
          <w:shd w:fill="auto" w:val="clear"/>
          <w:lang w:val="es-CO"/>
        </w:rPr>
        <w:t>Introducción a las funciones y su representación algebraica, tabular y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Los estudiantes usan NumPy para definir funciones matemáticas simples, pandas para obtener representaciones tabulares y Matplotlib para graficarlas. Se introduce el concepto de cómo una ecuación puede ser visualizada como una función en un gráfico.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Ejercicio: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Definir una ecuación a partir del enunciado verbal "determine todos los números reales cuyo doble es igual a su cuadrado",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Luego modelo algebraicamente este enunciado verbal a través de una ecuación: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2x = x^{2}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_ Luego defina la función diferencia de los lados de la ecuación anterior</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f(x) = 2x - x^{2}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y graficarla. Identificar visualmente la raíz de la función (donde cruza el eje $x$).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Tome funciones definidas como diferencias para interpretar los ceros de las mismas como puntos donde la diferencia se hace cero, o donde el minuendo es igual al sustraendo.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0"/>
          <w:szCs w:val="20"/>
          <w:highlight w:val="none"/>
          <w:shd w:fill="auto" w:val="clear"/>
        </w:rPr>
      </w:pPr>
      <w:r>
        <w:rPr>
          <w:rFonts w:eastAsia="Calibri" w:cs="" w:cstheme="minorBidi" w:eastAsiaTheme="minorHAnsi"/>
          <w:b w:val="false"/>
          <w:color w:val="000000"/>
          <w:sz w:val="20"/>
          <w:szCs w:val="20"/>
          <w:shd w:fill="auto" w:val="clear"/>
        </w:rPr>
        <w:t xml:space="preserve">El siguiente es el código python para obtener la tabla de la función: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cs="" w:cstheme="minorBidi" w:ascii="Droid Sans Mono;monospace;monospace" w:hAnsi="Droid Sans Mono;monospace;monospace"/>
          <w:b w:val="false"/>
          <w:color w:val="6A9955"/>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x: es uno de los números que buscamos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2x = x^{2}</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569CD6"/>
          <w:sz w:val="21"/>
          <w:shd w:fill="auto" w:val="clear"/>
        </w:rPr>
        <w:t>def</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return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2</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6A9955"/>
          <w:sz w:val="21"/>
          <w:shd w:fill="auto" w:val="clear"/>
        </w:rPr>
        <w:t># crea la progresión aritmética de puntos del dominio de la función</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'numeros 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'valores y o f(x)'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cs="" w:cstheme="minorBidi" w:ascii="Droid Sans Mono;monospace;monospace" w:hAnsi="Droid Sans Mono;monospace;monospace"/>
          <w:b w:val="false"/>
          <w:color w:val="CCCCCC"/>
          <w:sz w:val="21"/>
          <w:shd w:fill="auto" w:val="clear"/>
        </w:rPr>
      </w:r>
    </w:p>
    <w:p>
      <w:pPr>
        <w:pStyle w:val="Normal"/>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Representación tabular de la función diferencia de los lados de la ecuación</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numeros x</w:t>
            </w:r>
          </w:p>
        </w:tc>
        <w:tc>
          <w:tcPr>
            <w:tcW w:w="4319" w:type="dxa"/>
            <w:tcBorders/>
          </w:tcPr>
          <w:p>
            <w:pPr>
              <w:pStyle w:val="Normal"/>
              <w:rPr/>
            </w:pPr>
            <w:r>
              <w:rPr/>
              <w:t>valores y o f(x)</w:t>
            </w:r>
          </w:p>
        </w:tc>
      </w:tr>
      <w:tr>
        <w:trPr/>
        <w:tc>
          <w:tcPr>
            <w:tcW w:w="4320" w:type="dxa"/>
            <w:tcBorders/>
          </w:tcPr>
          <w:p>
            <w:pPr>
              <w:pStyle w:val="Normal"/>
              <w:rPr/>
            </w:pPr>
            <w:r>
              <w:rPr/>
              <w:t>-4</w:t>
            </w:r>
          </w:p>
        </w:tc>
        <w:tc>
          <w:tcPr>
            <w:tcW w:w="4319" w:type="dxa"/>
            <w:tcBorders/>
          </w:tcPr>
          <w:p>
            <w:pPr>
              <w:pStyle w:val="Normal"/>
              <w:rPr/>
            </w:pPr>
            <w:r>
              <w:rPr/>
              <w:t>-24</w:t>
            </w:r>
          </w:p>
        </w:tc>
      </w:tr>
      <w:tr>
        <w:trPr/>
        <w:tc>
          <w:tcPr>
            <w:tcW w:w="4320" w:type="dxa"/>
            <w:tcBorders/>
          </w:tcPr>
          <w:p>
            <w:pPr>
              <w:pStyle w:val="Normal"/>
              <w:rPr/>
            </w:pPr>
            <w:r>
              <w:rPr/>
              <w:t>-3</w:t>
            </w:r>
          </w:p>
        </w:tc>
        <w:tc>
          <w:tcPr>
            <w:tcW w:w="4319" w:type="dxa"/>
            <w:tcBorders/>
          </w:tcPr>
          <w:p>
            <w:pPr>
              <w:pStyle w:val="Normal"/>
              <w:rPr/>
            </w:pPr>
            <w:r>
              <w:rPr/>
              <w:t>-15</w:t>
            </w:r>
          </w:p>
        </w:tc>
      </w:tr>
      <w:tr>
        <w:trPr/>
        <w:tc>
          <w:tcPr>
            <w:tcW w:w="4320" w:type="dxa"/>
            <w:tcBorders/>
          </w:tcPr>
          <w:p>
            <w:pPr>
              <w:pStyle w:val="Normal"/>
              <w:rPr/>
            </w:pPr>
            <w:r>
              <w:rPr/>
              <w:t>-2</w:t>
            </w:r>
          </w:p>
        </w:tc>
        <w:tc>
          <w:tcPr>
            <w:tcW w:w="4319" w:type="dxa"/>
            <w:tcBorders/>
          </w:tcPr>
          <w:p>
            <w:pPr>
              <w:pStyle w:val="Normal"/>
              <w:rPr/>
            </w:pPr>
            <w:r>
              <w:rPr/>
              <w:t>-8</w:t>
            </w:r>
          </w:p>
        </w:tc>
      </w:tr>
      <w:tr>
        <w:trPr/>
        <w:tc>
          <w:tcPr>
            <w:tcW w:w="4320" w:type="dxa"/>
            <w:tcBorders/>
          </w:tcPr>
          <w:p>
            <w:pPr>
              <w:pStyle w:val="Normal"/>
              <w:rPr/>
            </w:pPr>
            <w:r>
              <w:rPr/>
              <w:t>-1</w:t>
            </w:r>
          </w:p>
        </w:tc>
        <w:tc>
          <w:tcPr>
            <w:tcW w:w="4319" w:type="dxa"/>
            <w:tcBorders/>
          </w:tcPr>
          <w:p>
            <w:pPr>
              <w:pStyle w:val="Normal"/>
              <w:rPr/>
            </w:pPr>
            <w:r>
              <w:rPr/>
              <w:t>-3</w:t>
            </w:r>
          </w:p>
        </w:tc>
      </w:tr>
      <w:tr>
        <w:trPr/>
        <w:tc>
          <w:tcPr>
            <w:tcW w:w="4320" w:type="dxa"/>
            <w:tcBorders/>
          </w:tcPr>
          <w:p>
            <w:pPr>
              <w:pStyle w:val="Normal"/>
              <w:rPr/>
            </w:pPr>
            <w:r>
              <w:rPr/>
              <w:t>0</w:t>
            </w:r>
          </w:p>
        </w:tc>
        <w:tc>
          <w:tcPr>
            <w:tcW w:w="4319" w:type="dxa"/>
            <w:tcBorders/>
          </w:tcPr>
          <w:p>
            <w:pPr>
              <w:pStyle w:val="Normal"/>
              <w:rPr/>
            </w:pPr>
            <w:r>
              <w:rPr/>
              <w:t>0</w:t>
            </w:r>
          </w:p>
        </w:tc>
      </w:tr>
      <w:tr>
        <w:trPr/>
        <w:tc>
          <w:tcPr>
            <w:tcW w:w="4320" w:type="dxa"/>
            <w:tcBorders/>
          </w:tcPr>
          <w:p>
            <w:pPr>
              <w:pStyle w:val="Normal"/>
              <w:rPr/>
            </w:pPr>
            <w:r>
              <w:rPr/>
              <w:t>1</w:t>
            </w:r>
          </w:p>
        </w:tc>
        <w:tc>
          <w:tcPr>
            <w:tcW w:w="4319" w:type="dxa"/>
            <w:tcBorders/>
          </w:tcPr>
          <w:p>
            <w:pPr>
              <w:pStyle w:val="Normal"/>
              <w:rPr/>
            </w:pPr>
            <w:r>
              <w:rPr/>
              <w:t>1</w:t>
            </w:r>
          </w:p>
        </w:tc>
      </w:tr>
      <w:tr>
        <w:trPr/>
        <w:tc>
          <w:tcPr>
            <w:tcW w:w="4320" w:type="dxa"/>
            <w:tcBorders/>
          </w:tcPr>
          <w:p>
            <w:pPr>
              <w:pStyle w:val="Normal"/>
              <w:rPr/>
            </w:pPr>
            <w:r>
              <w:rPr/>
              <w:t>2</w:t>
            </w:r>
          </w:p>
        </w:tc>
        <w:tc>
          <w:tcPr>
            <w:tcW w:w="4319" w:type="dxa"/>
            <w:tcBorders/>
          </w:tcPr>
          <w:p>
            <w:pPr>
              <w:pStyle w:val="Normal"/>
              <w:rPr/>
            </w:pPr>
            <w:r>
              <w:rPr/>
              <w:t>0</w:t>
            </w:r>
          </w:p>
        </w:tc>
      </w:tr>
      <w:tr>
        <w:trPr/>
        <w:tc>
          <w:tcPr>
            <w:tcW w:w="4320" w:type="dxa"/>
            <w:tcBorders/>
          </w:tcPr>
          <w:p>
            <w:pPr>
              <w:pStyle w:val="Normal"/>
              <w:rPr/>
            </w:pPr>
            <w:r>
              <w:rPr/>
              <w:t>3</w:t>
            </w:r>
          </w:p>
        </w:tc>
        <w:tc>
          <w:tcPr>
            <w:tcW w:w="4319" w:type="dxa"/>
            <w:tcBorders/>
          </w:tcPr>
          <w:p>
            <w:pPr>
              <w:pStyle w:val="Normal"/>
              <w:rPr/>
            </w:pPr>
            <w:r>
              <w:rPr/>
              <w:t>-3</w:t>
            </w:r>
          </w:p>
        </w:tc>
      </w:tr>
      <w:tr>
        <w:trPr/>
        <w:tc>
          <w:tcPr>
            <w:tcW w:w="4320" w:type="dxa"/>
            <w:tcBorders/>
          </w:tcPr>
          <w:p>
            <w:pPr>
              <w:pStyle w:val="Normal"/>
              <w:rPr/>
            </w:pPr>
            <w:r>
              <w:rPr/>
              <w:t>4</w:t>
            </w:r>
          </w:p>
        </w:tc>
        <w:tc>
          <w:tcPr>
            <w:tcW w:w="4319" w:type="dxa"/>
            <w:tcBorders/>
          </w:tcPr>
          <w:p>
            <w:pPr>
              <w:pStyle w:val="Normal"/>
              <w:rPr/>
            </w:pPr>
            <w:r>
              <w:rPr/>
              <w:t>-8</w:t>
            </w:r>
          </w:p>
        </w:tc>
      </w:tr>
    </w:tbl>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Tabla 1</w:t>
      </w:r>
    </w:p>
    <w:p>
      <w:pPr>
        <w:pStyle w:val="Normal"/>
        <w:ind w:right="-1"/>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drawing>
          <wp:anchor behindDoc="0" distT="0" distB="0" distL="0" distR="0" simplePos="0" locked="0" layoutInCell="0" allowOverlap="1" relativeHeight="3">
            <wp:simplePos x="0" y="0"/>
            <wp:positionH relativeFrom="column">
              <wp:posOffset>29845</wp:posOffset>
            </wp:positionH>
            <wp:positionV relativeFrom="paragraph">
              <wp:posOffset>154305</wp:posOffset>
            </wp:positionV>
            <wp:extent cx="5486400"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 xml:space="preserve">Figura 1   </w:t>
      </w:r>
    </w:p>
    <w:p>
      <w:pPr>
        <w:pStyle w:val="Normal"/>
        <w:ind w:right="-1"/>
        <w:rPr>
          <w:b/>
          <w:bCs/>
        </w:rPr>
      </w:pPr>
      <w:r>
        <w:rPr>
          <w:b/>
          <w:bCs/>
        </w:rPr>
      </w:r>
    </w:p>
    <w:p>
      <w:pPr>
        <w:pStyle w:val="Normal"/>
        <w:ind w:right="-1"/>
        <w:rPr>
          <w:b w:val="false"/>
          <w:bCs w:val="false"/>
        </w:rPr>
      </w:pPr>
      <w:r>
        <w:rPr>
          <w:b w:val="false"/>
          <w:bCs w:val="false"/>
        </w:rPr>
        <w:t xml:space="preserve">Se interpreta la solución del gráfico, solo observando los puntos en los que el gráfico de la función corta el eje horizontal, que se interpreta como los puntos en los que la diferencia se hace cero. </w:t>
      </w:r>
    </w:p>
    <w:p>
      <w:pPr>
        <w:pStyle w:val="Normal"/>
        <w:ind w:right="-1"/>
        <w:rPr>
          <w:b/>
          <w:bCs/>
        </w:rPr>
      </w:pPr>
      <w:r>
        <w:rPr>
          <w:b/>
          <w:bCs/>
        </w:rPr>
      </w:r>
    </w:p>
    <w:p>
      <w:pPr>
        <w:pStyle w:val="Normal"/>
        <w:ind w:right="-1"/>
        <w:rPr>
          <w:rFonts w:ascii="Droid Sans Mono;monospace;monospace" w:hAnsi="Droid Sans Mono;monospace;monospace" w:cs="" w:cstheme="minorBidi"/>
          <w:b/>
          <w:color w:val="000000"/>
          <w:sz w:val="21"/>
          <w:highlight w:val="none"/>
          <w:shd w:fill="auto" w:val="clear"/>
        </w:rPr>
      </w:pPr>
      <w:r>
        <w:rPr>
          <w:rFonts w:eastAsia="Open Sans" w:cs="Open Sans" w:ascii="Open Sans" w:hAnsi="Open Sans"/>
          <w:b/>
          <w:bCs/>
          <w:color w:val="000000"/>
          <w:sz w:val="20"/>
          <w:szCs w:val="20"/>
          <w:shd w:fill="auto" w:val="clear"/>
          <w:lang w:val="es-CO"/>
        </w:rPr>
        <w:t>Actividad 2: Modelar con lenguaje python y lenguaje algebraico, resolver con sympy, Representación tabular y gráfica de funciones</w:t>
      </w:r>
    </w:p>
    <w:p>
      <w:pPr>
        <w:pStyle w:val="Normal"/>
        <w:spacing w:lineRule="atLeast" w:line="285"/>
        <w:ind w:hanging="0" w:left="0" w:right="0"/>
        <w:rPr>
          <w:rFonts w:ascii="Droid Sans Mono;monospace;monospace" w:hAnsi="Droid Sans Mono;monospace;monospace" w:cs="" w:cstheme="minorBidi"/>
          <w:b/>
          <w:color w:val="000000"/>
          <w:sz w:val="21"/>
          <w:highlight w:val="none"/>
          <w:shd w:fill="auto" w:val="clear"/>
        </w:rPr>
      </w:pPr>
      <w:r>
        <w:rPr>
          <w:rFonts w:eastAsia="Calibri" w:cs="" w:cstheme="minorBidi" w:eastAsiaTheme="minorHAnsi"/>
          <w:b/>
          <w:color w:val="000000"/>
          <w:sz w:val="21"/>
          <w:shd w:fill="auto" w:val="clear"/>
        </w:rPr>
        <w:t>Problema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Actualmente, la edad del padre es tres veces la edad de su hijo. Y dentro de quince años, la edad del padre será el doble de la de su hijo. Determine las edades actuales de ellos.</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Los estudiantes utilizan lenguaje algebraico para modelar la situación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Pandas, los estudiantes crean la representación tabular de la función diferencia. Se les enseña a interpretar la tabla para encontrar en ella la solución de la ecuación y a conectar la representación tabular con la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Matplotlib los estudiantes grafican la función diferencia de los lados de la ecuación. Luego se les enseña a resolver el problema a partir de la observación del gráfico.</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Veamos la tres maneras de solución de este problema, modelando para luego resolver por observación: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Empieza la solución con un proceso de abstracción, es decir, de determinación del mínimo de variables necesarias ppara resolver el problema. </w:t>
      </w:r>
    </w:p>
    <w:p>
      <w:pPr>
        <w:pStyle w:val="Normal"/>
        <w:spacing w:lineRule="atLeast" w:line="285"/>
        <w:rPr>
          <w:rFonts w:ascii="Calibri" w:hAnsi="Calibri" w:eastAsia="Calibri" w:cs="" w:asciiTheme="minorHAnsi" w:cstheme="minorBidi" w:eastAsiaTheme="minorHAnsi" w:hAnsiTheme="minorHAnsi"/>
          <w:color w:val="000000"/>
          <w:highlight w:val="none"/>
          <w:shd w:fill="auto" w:val="clear"/>
        </w:rPr>
      </w:pPr>
      <w:r>
        <w:rPr>
          <w:rFonts w:eastAsia="Calibri" w:cs="" w:cstheme="minorBidi" w:eastAsiaTheme="minorHAnsi"/>
          <w:color w:val="000000"/>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Note que la única variable necesaria es la edad actual del hijo x. Pues al tenerla o determinarla, podemos inferir la del padre utilizando la hipótesis de que la de este es tres veces la del hijo.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ascii="Droid Sans Mono;monospace;monospace" w:hAnsi="Droid Sans Mono;monospace;monospace" w:cstheme="minorBidi"/>
          <w:b w:val="false"/>
          <w:color w:val="000000"/>
          <w:sz w:val="21"/>
          <w:shd w:fill="auto" w:val="clear"/>
        </w:rPr>
        <w:t xml:space="preserve">Con el siguiente código python, quiero mostrar un lenguaje legible que facilita el modelado con ecuaciones: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importación de las librerías necesarias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from</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sympy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matplotlib</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pyplot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modelación con el lenguaje legible python y ell lenguaje manipulable algebraico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var</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3</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edad_actual_hijo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modelo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Eq</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modelo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i w:val="false"/>
          <w:caps w:val="false"/>
          <w:smallCaps w:val="false"/>
          <w:color w:val="000000"/>
          <w:spacing w:val="0"/>
          <w:sz w:val="24"/>
          <w:shd w:fill="auto" w:val="clear"/>
        </w:rPr>
        <w:t>3</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+15=2</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+30  (Esta es la ecuación modelo que se obtiene con el código anterior)</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Ahora, con la siguiente línea de código python, muestro como pedir al software que resuelva con una calculadora simbólica: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i w:val="false"/>
          <w:caps w:val="false"/>
          <w:smallCaps w:val="false"/>
          <w:color w:val="DCDCAA"/>
          <w:spacing w:val="0"/>
          <w:sz w:val="24"/>
          <w:shd w:fill="auto" w:val="clear"/>
        </w:rPr>
        <w:t>solve</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9CDCFE"/>
          <w:spacing w:val="0"/>
          <w:sz w:val="24"/>
          <w:shd w:fill="auto" w:val="clear"/>
        </w:rPr>
        <w:t>modelo</w:t>
      </w:r>
      <w:r>
        <w:rPr>
          <w:rFonts w:eastAsia="Calibri" w:cs="" w:cstheme="minorBidi" w:eastAsiaTheme="minorHAnsi"/>
          <w:b w:val="false"/>
          <w:i w:val="false"/>
          <w:caps w:val="false"/>
          <w:smallCaps w:val="false"/>
          <w:color w:val="CCCCCC"/>
          <w:spacing w:val="0"/>
          <w:sz w:val="24"/>
          <w:shd w:fill="auto" w:val="clear"/>
        </w:rPr>
        <w:t xml:space="preserve">, </w:t>
      </w:r>
      <w:r>
        <w:rPr>
          <w:rFonts w:eastAsia="Calibri" w:cs="" w:cstheme="minorBidi" w:eastAsiaTheme="minorHAnsi"/>
          <w:b w:val="false"/>
          <w:i w:val="false"/>
          <w:caps w:val="false"/>
          <w:smallCaps w:val="false"/>
          <w:color w:val="9CDCFE"/>
          <w:spacing w:val="0"/>
          <w:sz w:val="24"/>
          <w:shd w:fill="auto" w:val="clear"/>
        </w:rPr>
        <w:t>edad_actual_hijo</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B5CEA8"/>
          <w:spacing w:val="0"/>
          <w:sz w:val="24"/>
          <w:shd w:fill="auto" w:val="clear"/>
        </w:rPr>
        <w:t>0</w:t>
      </w:r>
      <w:r>
        <w:rPr>
          <w:rFonts w:eastAsia="Calibri" w:cs="" w:cstheme="minorBidi" w:eastAsiaTheme="minorHAnsi"/>
          <w:b w:val="false"/>
          <w:i w:val="false"/>
          <w:caps w:val="false"/>
          <w:smallCaps w:val="false"/>
          <w:color w:val="CCCCCC"/>
          <w:spacing w:val="0"/>
          <w:sz w:val="24"/>
          <w:shd w:fill="auto" w:val="clear"/>
        </w:rPr>
        <w:t>]</w:t>
      </w:r>
    </w:p>
    <w:p>
      <w:pPr>
        <w:pStyle w:val="Normal"/>
        <w:spacing w:lineRule="atLeast" w:line="285"/>
        <w:ind w:hanging="0" w:left="0" w:right="0"/>
        <w:rPr>
          <w:rFonts w:ascii="KaTeX Main;Times New Roman;serif" w:hAnsi="KaTeX Main;Times New Roman;serif" w:cs="" w:cstheme="minorBidi"/>
          <w:b w:val="false"/>
          <w:i w:val="false"/>
          <w:i w:val="false"/>
          <w:caps w:val="false"/>
          <w:smallCaps w:val="false"/>
          <w:color w:val="000000"/>
          <w:spacing w:val="0"/>
          <w:sz w:val="24"/>
          <w:highlight w:val="none"/>
          <w:shd w:fill="auto" w:val="clear"/>
        </w:rPr>
      </w:pPr>
      <w:r>
        <w:rPr>
          <w:rFonts w:eastAsia="Calibri" w:cs="" w:cstheme="minorBidi" w:eastAsiaTheme="minorHAnsi"/>
          <w:b w:val="false"/>
          <w:i w:val="false"/>
          <w:caps w:val="false"/>
          <w:smallCaps w:val="false"/>
          <w:color w:val="000000"/>
          <w:spacing w:val="0"/>
          <w:sz w:val="24"/>
          <w:shd w:fill="auto" w:val="clear"/>
        </w:rPr>
        <w:t>15 (esta es la solución que obtenemos usando la función solve() de sympy)</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Note que la instrucción es fácil de leer: pues en ella, se le pide que resuelva, el modelo con respecto a la variable edad actual del hijo. Note que se pide la solución de manera verbal, no el lenguaje algebraico..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i w:val="false"/>
          <w:caps w:val="false"/>
          <w:smallCaps w:val="false"/>
          <w:color w:val="6A9955"/>
          <w:spacing w:val="0"/>
          <w:sz w:val="24"/>
          <w:shd w:fill="auto" w:val="clear"/>
        </w:rPr>
        <w:t># determinación de progresión geométrica de posibles edades actuales del hijo para explorar</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30</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definición de la función diferencia de las edades futuras de padre e 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lambdify</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evaluación de edades del hijo para obtener la diferencia de las edades a los quince años</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Contrucción de la representación tabular de la función diferencia de los lados de la ecuación modelo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'edades actuales posibles del 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E9178"/>
          <w:sz w:val="21"/>
          <w:shd w:fill="auto" w:val="clear"/>
        </w:rPr>
        <w:t>'valores de diferencia de edades dentro de 15 años'</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funcion_en_forma_tabular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 xml:space="preserve">funcion_en_forma_tabular  </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Heading1"/>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ascii="Calibri" w:hAnsi="Calibri" w:asciiTheme="minorHAnsi" w:cstheme="minorBidi" w:eastAsiaTheme="minorHAnsi" w:hAnsiTheme="minorHAnsi"/>
          <w:b/>
          <w:bCs/>
          <w:color w:val="000000"/>
          <w:sz w:val="21"/>
          <w:shd w:fill="auto" w:val="clear"/>
        </w:rPr>
        <w:t>Representación tabular de la función diferencia Actividad 2</w:t>
      </w:r>
    </w:p>
    <w:p>
      <w:pPr>
        <w:pStyle w:val="Normal"/>
        <w:spacing w:lineRule="atLeast" w:line="285"/>
        <w:rPr>
          <w:rFonts w:ascii="Droid Sans Mono;monospace;monospace" w:hAnsi="Droid Sans Mono;monospace;monospace" w:cs="" w:cstheme="minorBidi"/>
          <w:b/>
          <w:bCs/>
          <w:color w:val="000000"/>
          <w:sz w:val="21"/>
          <w:highlight w:val="none"/>
          <w:shd w:fill="auto" w:val="clear"/>
        </w:rPr>
      </w:pPr>
      <w:r>
        <w:rPr>
          <w:rFonts w:cs="" w:cstheme="minorBidi" w:ascii="Droid Sans Mono;monospace;monospace" w:hAnsi="Droid Sans Mono;monospace;monospace"/>
          <w:b/>
          <w:bCs/>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edades actuales posibles del hijo</w:t>
            </w:r>
          </w:p>
        </w:tc>
        <w:tc>
          <w:tcPr>
            <w:tcW w:w="4319" w:type="dxa"/>
            <w:tcBorders/>
          </w:tcPr>
          <w:p>
            <w:pPr>
              <w:pStyle w:val="Normal"/>
              <w:rPr/>
            </w:pPr>
            <w:r>
              <w:rPr/>
              <w:t>valores de diferencia de edades dentro de 15 años</w:t>
            </w:r>
          </w:p>
        </w:tc>
      </w:tr>
      <w:tr>
        <w:trPr/>
        <w:tc>
          <w:tcPr>
            <w:tcW w:w="4320" w:type="dxa"/>
            <w:tcBorders/>
          </w:tcPr>
          <w:p>
            <w:pPr>
              <w:pStyle w:val="Normal"/>
              <w:rPr/>
            </w:pPr>
            <w:r>
              <w:rPr/>
              <w:t>0</w:t>
            </w:r>
          </w:p>
        </w:tc>
        <w:tc>
          <w:tcPr>
            <w:tcW w:w="4319" w:type="dxa"/>
            <w:tcBorders/>
          </w:tcPr>
          <w:p>
            <w:pPr>
              <w:pStyle w:val="Normal"/>
              <w:rPr/>
            </w:pPr>
            <w:r>
              <w:rPr/>
              <w:t>-15</w:t>
            </w:r>
          </w:p>
        </w:tc>
      </w:tr>
      <w:tr>
        <w:trPr/>
        <w:tc>
          <w:tcPr>
            <w:tcW w:w="4320" w:type="dxa"/>
            <w:tcBorders/>
          </w:tcPr>
          <w:p>
            <w:pPr>
              <w:pStyle w:val="Normal"/>
              <w:rPr/>
            </w:pPr>
            <w:r>
              <w:rPr/>
              <w:t>3</w:t>
            </w:r>
          </w:p>
        </w:tc>
        <w:tc>
          <w:tcPr>
            <w:tcW w:w="4319" w:type="dxa"/>
            <w:tcBorders/>
          </w:tcPr>
          <w:p>
            <w:pPr>
              <w:pStyle w:val="Normal"/>
              <w:rPr/>
            </w:pPr>
            <w:r>
              <w:rPr/>
              <w:t>-12</w:t>
            </w:r>
          </w:p>
        </w:tc>
      </w:tr>
      <w:tr>
        <w:trPr/>
        <w:tc>
          <w:tcPr>
            <w:tcW w:w="4320" w:type="dxa"/>
            <w:tcBorders/>
          </w:tcPr>
          <w:p>
            <w:pPr>
              <w:pStyle w:val="Normal"/>
              <w:rPr/>
            </w:pPr>
            <w:r>
              <w:rPr/>
              <w:t>6</w:t>
            </w:r>
          </w:p>
        </w:tc>
        <w:tc>
          <w:tcPr>
            <w:tcW w:w="4319" w:type="dxa"/>
            <w:tcBorders/>
          </w:tcPr>
          <w:p>
            <w:pPr>
              <w:pStyle w:val="Normal"/>
              <w:rPr/>
            </w:pPr>
            <w:r>
              <w:rPr/>
              <w:t>-9</w:t>
            </w:r>
          </w:p>
        </w:tc>
      </w:tr>
      <w:tr>
        <w:trPr/>
        <w:tc>
          <w:tcPr>
            <w:tcW w:w="4320" w:type="dxa"/>
            <w:tcBorders/>
          </w:tcPr>
          <w:p>
            <w:pPr>
              <w:pStyle w:val="Normal"/>
              <w:rPr/>
            </w:pPr>
            <w:r>
              <w:rPr/>
              <w:t>9</w:t>
            </w:r>
          </w:p>
        </w:tc>
        <w:tc>
          <w:tcPr>
            <w:tcW w:w="4319" w:type="dxa"/>
            <w:tcBorders/>
          </w:tcPr>
          <w:p>
            <w:pPr>
              <w:pStyle w:val="Normal"/>
              <w:rPr/>
            </w:pPr>
            <w:r>
              <w:rPr/>
              <w:t>-6</w:t>
            </w:r>
          </w:p>
        </w:tc>
      </w:tr>
      <w:tr>
        <w:trPr/>
        <w:tc>
          <w:tcPr>
            <w:tcW w:w="4320" w:type="dxa"/>
            <w:tcBorders/>
          </w:tcPr>
          <w:p>
            <w:pPr>
              <w:pStyle w:val="Normal"/>
              <w:rPr/>
            </w:pPr>
            <w:r>
              <w:rPr/>
              <w:t>12</w:t>
            </w:r>
          </w:p>
        </w:tc>
        <w:tc>
          <w:tcPr>
            <w:tcW w:w="4319" w:type="dxa"/>
            <w:tcBorders/>
          </w:tcPr>
          <w:p>
            <w:pPr>
              <w:pStyle w:val="Normal"/>
              <w:rPr/>
            </w:pPr>
            <w:r>
              <w:rPr/>
              <w:t>-3</w:t>
            </w:r>
          </w:p>
        </w:tc>
      </w:tr>
      <w:tr>
        <w:trPr/>
        <w:tc>
          <w:tcPr>
            <w:tcW w:w="4320" w:type="dxa"/>
            <w:tcBorders/>
          </w:tcPr>
          <w:p>
            <w:pPr>
              <w:pStyle w:val="Normal"/>
              <w:rPr/>
            </w:pPr>
            <w:r>
              <w:rPr/>
              <w:t>15</w:t>
            </w:r>
          </w:p>
        </w:tc>
        <w:tc>
          <w:tcPr>
            <w:tcW w:w="4319" w:type="dxa"/>
            <w:tcBorders/>
          </w:tcPr>
          <w:p>
            <w:pPr>
              <w:pStyle w:val="Normal"/>
              <w:rPr/>
            </w:pPr>
            <w:r>
              <w:rPr/>
              <w:t>0</w:t>
            </w:r>
          </w:p>
        </w:tc>
      </w:tr>
      <w:tr>
        <w:trPr/>
        <w:tc>
          <w:tcPr>
            <w:tcW w:w="4320" w:type="dxa"/>
            <w:tcBorders/>
          </w:tcPr>
          <w:p>
            <w:pPr>
              <w:pStyle w:val="Normal"/>
              <w:rPr/>
            </w:pPr>
            <w:r>
              <w:rPr/>
              <w:t>18</w:t>
            </w:r>
          </w:p>
        </w:tc>
        <w:tc>
          <w:tcPr>
            <w:tcW w:w="4319" w:type="dxa"/>
            <w:tcBorders/>
          </w:tcPr>
          <w:p>
            <w:pPr>
              <w:pStyle w:val="Normal"/>
              <w:rPr/>
            </w:pPr>
            <w:r>
              <w:rPr/>
              <w:t>3</w:t>
            </w:r>
          </w:p>
        </w:tc>
      </w:tr>
      <w:tr>
        <w:trPr/>
        <w:tc>
          <w:tcPr>
            <w:tcW w:w="4320" w:type="dxa"/>
            <w:tcBorders/>
          </w:tcPr>
          <w:p>
            <w:pPr>
              <w:pStyle w:val="Normal"/>
              <w:rPr/>
            </w:pPr>
            <w:r>
              <w:rPr/>
              <w:t>21</w:t>
            </w:r>
          </w:p>
        </w:tc>
        <w:tc>
          <w:tcPr>
            <w:tcW w:w="4319" w:type="dxa"/>
            <w:tcBorders/>
          </w:tcPr>
          <w:p>
            <w:pPr>
              <w:pStyle w:val="Normal"/>
              <w:rPr/>
            </w:pPr>
            <w:r>
              <w:rPr/>
              <w:t>6</w:t>
            </w:r>
          </w:p>
        </w:tc>
      </w:tr>
      <w:tr>
        <w:trPr/>
        <w:tc>
          <w:tcPr>
            <w:tcW w:w="4320" w:type="dxa"/>
            <w:tcBorders/>
          </w:tcPr>
          <w:p>
            <w:pPr>
              <w:pStyle w:val="Normal"/>
              <w:rPr/>
            </w:pPr>
            <w:r>
              <w:rPr/>
              <w:t>24</w:t>
            </w:r>
          </w:p>
        </w:tc>
        <w:tc>
          <w:tcPr>
            <w:tcW w:w="4319" w:type="dxa"/>
            <w:tcBorders/>
          </w:tcPr>
          <w:p>
            <w:pPr>
              <w:pStyle w:val="Normal"/>
              <w:rPr/>
            </w:pPr>
            <w:r>
              <w:rPr/>
              <w:t>9</w:t>
            </w:r>
          </w:p>
        </w:tc>
      </w:tr>
      <w:tr>
        <w:trPr/>
        <w:tc>
          <w:tcPr>
            <w:tcW w:w="4320" w:type="dxa"/>
            <w:tcBorders/>
          </w:tcPr>
          <w:p>
            <w:pPr>
              <w:pStyle w:val="Normal"/>
              <w:rPr/>
            </w:pPr>
            <w:r>
              <w:rPr/>
              <w:t>27</w:t>
            </w:r>
          </w:p>
        </w:tc>
        <w:tc>
          <w:tcPr>
            <w:tcW w:w="4319" w:type="dxa"/>
            <w:tcBorders/>
          </w:tcPr>
          <w:p>
            <w:pPr>
              <w:pStyle w:val="Normal"/>
              <w:rPr/>
            </w:pPr>
            <w:r>
              <w:rPr/>
              <w:t>12</w:t>
            </w:r>
          </w:p>
        </w:tc>
      </w:tr>
      <w:tr>
        <w:trPr/>
        <w:tc>
          <w:tcPr>
            <w:tcW w:w="4320" w:type="dxa"/>
            <w:tcBorders/>
          </w:tcPr>
          <w:p>
            <w:pPr>
              <w:pStyle w:val="Normal"/>
              <w:rPr/>
            </w:pPr>
            <w:r>
              <w:rPr/>
              <w:t>30</w:t>
            </w:r>
          </w:p>
        </w:tc>
        <w:tc>
          <w:tcPr>
            <w:tcW w:w="4319" w:type="dxa"/>
            <w:tcBorders/>
          </w:tcPr>
          <w:p>
            <w:pPr>
              <w:pStyle w:val="Normal"/>
              <w:rPr/>
            </w:pPr>
            <w:r>
              <w:rPr/>
              <w:t>15</w:t>
            </w:r>
          </w:p>
        </w:tc>
      </w:tr>
    </w:tbl>
    <w:p>
      <w:pPr>
        <w:pStyle w:val="Normal"/>
        <w:spacing w:lineRule="atLeast" w:line="285"/>
        <w:ind w:hanging="0" w:left="0" w:right="0"/>
        <w:jc w:val="center"/>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Tabla 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Recordemos que la solución de la ecuación modelo se obtiene de la tabla, buscando el cero de la segunda columna. La fila que contiene el cero de la función diferencia, nos indica que la edad necesaria para que la diferencia de los lados de la ecuación sea cero es 15. Lo que equivale a decir, que 15 es la edad del hijo que hace que los lados de la ecuación sean iguales, de donde concluimos que las edades actuales del hijo y del padre son respectivamente: 15 y 45 años.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figure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figsize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8</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6</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title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'Grafico de la función diferencia de los lados'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ylabel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'Diferencia de edades'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xlabel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'edad actual del 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plot</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'red'</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label</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'Diferencias posibles de edades dentro de quince años'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axhline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xmin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xmax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'green'</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grid</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alpha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0.4</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legend</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savefig</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'/home/marco/Documentos/docencia/calculo/referents/1_precalculo_stewart/1_fundamentos/1_5_ecuaciones/6_propuesta_presentada_congreso_humanos_XXI/3_este_articulo_en_cuaderno_jupyter/2_imagenes_de_este_articulo/figura_2.jpg'</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show</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center"/>
        <w:rPr>
          <w:b/>
          <w:bCs/>
        </w:rPr>
      </w:pPr>
      <w:r>
        <w:rPr>
          <w:rFonts w:eastAsia="Open Sans" w:cs="Open Sans" w:ascii="Open Sans" w:hAnsi="Open Sans"/>
          <w:b/>
          <w:bCs/>
          <w:sz w:val="20"/>
          <w:szCs w:val="20"/>
          <w:lang w:val="es-CO"/>
        </w:rPr>
        <w:t xml:space="preserve">Figura 2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Interpretemos el gráfico anterior. Note que la solución es el punto de intersección del gráfico de la función diferencia con el eje horizontal. Por lo tanto, podemos ver que la solución del problema es: edad actual del hijo de 15 años, de donde la edad actual del padre es 45.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propongo recopilar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Observaciones en el aula:</w:t>
      </w:r>
      <w:r>
        <w:rPr>
          <w:rFonts w:eastAsia="Open Sans" w:cs="Open Sans" w:ascii="Open Sans" w:hAnsi="Open Sans"/>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Cuestionarios y encuestas:</w:t>
      </w:r>
      <w:r>
        <w:rPr>
          <w:rFonts w:eastAsia="Open Sans" w:cs="Open Sans" w:ascii="Open Sans" w:hAnsi="Open Sans"/>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de desempeño:</w:t>
      </w:r>
      <w:r>
        <w:rPr>
          <w:rFonts w:eastAsia="Open Sans" w:cs="Open Sans" w:ascii="Open Sans" w:hAnsi="Open Sans"/>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 Evaluaciones formativas: </w:t>
      </w:r>
      <w:r>
        <w:rPr>
          <w:rFonts w:eastAsia="Open Sans" w:cs="Open Sans" w:ascii="Open Sans" w:hAnsi="Open Sans"/>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sumativas:</w:t>
      </w:r>
      <w:r>
        <w:rPr>
          <w:rFonts w:eastAsia="Open Sans" w:cs="Open Sans" w:ascii="Open Sans" w:hAnsi="Open Sans"/>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Autoevaluaciones y coevaluaciones:</w:t>
      </w:r>
      <w:r>
        <w:rPr>
          <w:rFonts w:eastAsia="Open Sans" w:cs="Open Sans" w:ascii="Open Sans" w:hAnsi="Open Sans"/>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y = kx  donde k es una constante de proporcionalidad, los estudiantes pueden crear una tabla de valores seleccionando diferentes valores de x y calculando los correspondientes valores de y.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Proporcionalidad Directa: </w:t>
      </w:r>
      <w:r>
        <w:rPr>
          <w:rFonts w:eastAsia="Open Sans" w:cs="Open Sans" w:ascii="Open Sans" w:hAnsi="Open Sans"/>
          <w:sz w:val="20"/>
          <w:szCs w:val="20"/>
          <w:lang w:val="es-CO"/>
        </w:rPr>
        <w:t>Considere la función y = 3x.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Funciones Lineales: </w:t>
      </w:r>
      <w:r>
        <w:rPr>
          <w:rFonts w:eastAsia="Open Sans" w:cs="Open Sans" w:ascii="Open Sans" w:hAnsi="Open Sans"/>
          <w:sz w:val="20"/>
          <w:szCs w:val="20"/>
          <w:lang w:val="es-CO"/>
        </w:rPr>
        <w:t>Considere la función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Funciones Cuadráticas: </w:t>
      </w:r>
      <w:r>
        <w:rPr>
          <w:rFonts w:eastAsia="Open Sans" w:cs="Open Sans" w:ascii="Open Sans" w:hAnsi="Open Sans"/>
          <w:sz w:val="20"/>
          <w:szCs w:val="20"/>
          <w:lang w:val="es-CO"/>
        </w:rPr>
        <w:t>Considere la función y = -x^2 + 4x + 5.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Lectura de Tablas</w:t>
      </w:r>
      <w:r>
        <w:rPr>
          <w:rFonts w:eastAsia="Open Sans" w:cs="Open Sans" w:ascii="Open Sans" w:hAnsi="Open Sans"/>
          <w:sz w:val="20"/>
          <w:szCs w:val="20"/>
          <w:lang w:val="es-CO"/>
        </w:rPr>
        <w:t>: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Interpretación de Gráficas</w:t>
      </w:r>
      <w:r>
        <w:rPr>
          <w:rFonts w:eastAsia="Open Sans" w:cs="Open Sans" w:ascii="Open Sans" w:hAnsi="Open Sans"/>
          <w:sz w:val="20"/>
          <w:szCs w:val="20"/>
          <w:lang w:val="es-CO"/>
        </w:rPr>
        <w:t>: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Comparación con Expresiones Algebraicas</w:t>
      </w:r>
      <w:r>
        <w:rPr>
          <w:rFonts w:eastAsia="Open Sans" w:cs="Open Sans" w:ascii="Open Sans" w:hAnsi="Open Sans"/>
          <w:sz w:val="20"/>
          <w:szCs w:val="20"/>
          <w:lang w:val="es-CO"/>
        </w:rPr>
        <w:t>: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Forma de las Gráficas:</w:t>
      </w:r>
      <w:r>
        <w:rPr>
          <w:rFonts w:eastAsia="Open Sans" w:cs="Open Sans" w:ascii="Open Sans" w:hAnsi="Open Sans"/>
          <w:sz w:val="20"/>
          <w:szCs w:val="20"/>
          <w:lang w:val="es-CO"/>
        </w:rPr>
        <w:t xml:space="preserve">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Comportamiento Asintótico:</w:t>
      </w:r>
      <w:r>
        <w:rPr>
          <w:rFonts w:eastAsia="Open Sans" w:cs="Open Sans" w:ascii="Open Sans" w:hAnsi="Open Sans"/>
          <w:sz w:val="20"/>
          <w:szCs w:val="20"/>
          <w:lang w:val="es-CO"/>
        </w:rPr>
        <w:t xml:space="preserve"> Cómo se comportan las funciones cuando  x tiende a infinito.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Características Especiales:</w:t>
      </w:r>
      <w:r>
        <w:rPr>
          <w:rFonts w:eastAsia="Open Sans" w:cs="Open Sans" w:ascii="Open Sans" w:hAnsi="Open Sans"/>
          <w:sz w:val="20"/>
          <w:szCs w:val="20"/>
          <w:lang w:val="es-CO"/>
        </w:rPr>
        <w:t xml:space="preserve">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f(x) = g(x), el objetivo es encontrar los valores de x donde las funciones f  y  g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Definir las Funciones:</w:t>
      </w:r>
      <w:r>
        <w:rPr>
          <w:rFonts w:eastAsia="Open Sans" w:cs="Open Sans" w:ascii="Open Sans" w:hAnsi="Open Sans"/>
          <w:sz w:val="20"/>
          <w:szCs w:val="20"/>
          <w:lang w:val="es-CO"/>
        </w:rPr>
        <w:t xml:space="preserve"> Especificar las funciones  f(x) y g(x) que se van a comparar.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Generar Tablas de Valores:</w:t>
      </w:r>
      <w:r>
        <w:rPr>
          <w:rFonts w:eastAsia="Open Sans" w:cs="Open Sans" w:ascii="Open Sans" w:hAnsi="Open Sans"/>
          <w:sz w:val="20"/>
          <w:szCs w:val="20"/>
          <w:lang w:val="es-CO"/>
        </w:rPr>
        <w:t xml:space="preserve"> Crear tablas de valores para f(x) y g(x) utilizando pandas.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Graficar las Funciones:</w:t>
      </w:r>
      <w:r>
        <w:rPr>
          <w:rFonts w:eastAsia="Open Sans" w:cs="Open Sans" w:ascii="Open Sans" w:hAnsi="Open Sans"/>
          <w:sz w:val="20"/>
          <w:szCs w:val="20"/>
          <w:lang w:val="es-CO"/>
        </w:rPr>
        <w:t xml:space="preserve"> Utilizar matplotlib y plotly para trazar las gráficas de f(x) y g(x).</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Identificar Intersecciones:</w:t>
      </w:r>
      <w:r>
        <w:rPr>
          <w:rFonts w:eastAsia="Open Sans" w:cs="Open Sans" w:ascii="Open Sans" w:hAnsi="Open Sans"/>
          <w:sz w:val="20"/>
          <w:szCs w:val="20"/>
          <w:lang w:val="es-CO"/>
        </w:rPr>
        <w:t xml:space="preserve"> Analizar las gráficas para encontrar los puntos de intersección, que corresponden a los valores de x que satisfacen la ecuación f(x) =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2x + 3 = 5. Esta ecuación puede ser interpretada como la igualdad de dos funciones: f(x) = 2x + 3 y 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x^2 - 4 = 0. Esta ecuación puede ser interpretada como la igualdad de dos funciones: f(x) = x^2  y  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Tener en Cuenta que para este Artículo Reflexivo, las Ecuaciones son Preguntas Asociadas a Igualdad de Funciones o Valores de Funciones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Comprensión Intuitiva de Funciones:</w:t>
      </w:r>
      <w:r>
        <w:rPr>
          <w:rFonts w:eastAsia="Open Sans" w:cs="Open Sans" w:ascii="Open Sans" w:hAnsi="Open Sans"/>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Habilidades de Resolución de Problemas</w:t>
      </w:r>
      <w:r>
        <w:rPr>
          <w:rFonts w:eastAsia="Open Sans" w:cs="Open Sans" w:ascii="Open Sans" w:hAnsi="Open Sans"/>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Engagement y Motivación:</w:t>
      </w:r>
      <w:r>
        <w:rPr>
          <w:rFonts w:eastAsia="Open Sans" w:cs="Open Sans" w:ascii="Open Sans" w:hAnsi="Open Sans"/>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Reducción de la Ansiedad Matemática:</w:t>
      </w:r>
      <w:r>
        <w:rPr>
          <w:rFonts w:eastAsia="Open Sans" w:cs="Open Sans" w:ascii="Open Sans" w:hAnsi="Open Sans"/>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Accesibilidad y Claridad:</w:t>
      </w:r>
      <w:r>
        <w:rPr>
          <w:rFonts w:eastAsia="Open Sans" w:cs="Open Sans" w:ascii="Open Sans" w:hAnsi="Open Sans"/>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Visualización de Soluciones: </w:t>
      </w:r>
      <w:r>
        <w:rPr>
          <w:rFonts w:eastAsia="Open Sans" w:cs="Open Sans" w:ascii="Open Sans" w:hAnsi="Open Sans"/>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Aplicación en Problemas Reales:</w:t>
      </w:r>
      <w:r>
        <w:rPr>
          <w:rFonts w:eastAsia="Open Sans" w:cs="Open Sans" w:ascii="Open Sans" w:hAnsi="Open Sans"/>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Desarrollo de Habilidades Computacionales:</w:t>
      </w:r>
      <w:r>
        <w:rPr>
          <w:rFonts w:eastAsia="Open Sans" w:cs="Open Sans" w:ascii="Open Sans" w:hAnsi="Open Sans"/>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Curva de Aprendizaje Tecnológica: </w:t>
      </w:r>
      <w:r>
        <w:rPr>
          <w:rFonts w:eastAsia="Open Sans" w:cs="Open Sans" w:ascii="Open Sans" w:hAnsi="Open Sans"/>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Resistencia al Cambio:</w:t>
      </w:r>
      <w:r>
        <w:rPr>
          <w:rFonts w:eastAsia="Open Sans" w:cs="Open Sans" w:ascii="Open Sans" w:hAnsi="Open Sans"/>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Acceso a Tecnología: </w:t>
      </w:r>
      <w:r>
        <w:rPr>
          <w:rFonts w:eastAsia="Open Sans" w:cs="Open Sans" w:ascii="Open Sans" w:hAnsi="Open Sans"/>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Evaluación de Aprendizaje:</w:t>
      </w:r>
      <w:r>
        <w:rPr>
          <w:rFonts w:eastAsia="Open Sans" w:cs="Open Sans" w:ascii="Open Sans" w:hAnsi="Open Sans"/>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Diversidad de Estilos de Aprendizaje:</w:t>
      </w:r>
      <w:r>
        <w:rPr>
          <w:rFonts w:eastAsia="Open Sans" w:cs="Open Sans" w:ascii="Open Sans" w:hAnsi="Open Sans"/>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Feedback Continuo: </w:t>
      </w:r>
      <w:r>
        <w:rPr>
          <w:rFonts w:eastAsia="Open Sans" w:cs="Open Sans" w:ascii="Open Sans" w:hAnsi="Open Sans"/>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Motivación y Participación:</w:t>
      </w:r>
      <w:r>
        <w:rPr>
          <w:rFonts w:eastAsia="Open Sans" w:cs="Open Sans" w:ascii="Open Sans" w:hAnsi="Open Sans"/>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Comprendan Profundamente las Funciones:</w:t>
      </w:r>
      <w:r>
        <w:rPr>
          <w:rFonts w:eastAsia="Open Sans" w:cs="Open Sans" w:ascii="Open Sans" w:hAnsi="Open Sans"/>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Mejoren sus Habilidades de Resolución de Problemas:</w:t>
      </w:r>
      <w:r>
        <w:rPr>
          <w:rFonts w:eastAsia="Open Sans" w:cs="Open Sans" w:ascii="Open Sans" w:hAnsi="Open Sans"/>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Reduzcan la Ansiedad Matemática:</w:t>
      </w:r>
      <w:r>
        <w:rPr>
          <w:rFonts w:eastAsia="Open Sans" w:cs="Open Sans" w:ascii="Open Sans" w:hAnsi="Open Sans"/>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Desarrollen Habilidades Tecnológicas:</w:t>
      </w:r>
      <w:r>
        <w:rPr>
          <w:rFonts w:eastAsia="Open Sans" w:cs="Open Sans" w:ascii="Open Sans" w:hAnsi="Open Sans"/>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Capacitación en Herramientas Tecnológicas:</w:t>
      </w:r>
      <w:r>
        <w:rPr>
          <w:rFonts w:eastAsia="Open Sans" w:cs="Open Sans" w:ascii="Open Sans" w:hAnsi="Open Sans"/>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Uso de Ejemplos Concretos: </w:t>
      </w:r>
      <w:r>
        <w:rPr>
          <w:rFonts w:eastAsia="Open Sans" w:cs="Open Sans" w:ascii="Open Sans" w:hAnsi="Open Sans"/>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Enfoque Interactivo y Colaborativo:</w:t>
      </w:r>
      <w:r>
        <w:rPr>
          <w:rFonts w:eastAsia="Open Sans" w:cs="Open Sans" w:ascii="Open Sans" w:hAnsi="Open Sans"/>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Organización Clara:</w:t>
      </w:r>
      <w:r>
        <w:rPr>
          <w:rFonts w:eastAsia="Open Sans" w:cs="Open Sans" w:ascii="Open Sans" w:hAnsi="Open Sans"/>
          <w:sz w:val="20"/>
          <w:szCs w:val="20"/>
          <w:lang w:val="es-CO"/>
        </w:rPr>
        <w:t xml:space="preserve">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Incluir Ejemplos Prácticos:</w:t>
      </w:r>
      <w:r>
        <w:rPr>
          <w:rFonts w:eastAsia="Open Sans" w:cs="Open Sans" w:ascii="Open Sans" w:hAnsi="Open Sans"/>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Pandas:</w:t>
      </w:r>
      <w:r>
        <w:rPr>
          <w:rFonts w:eastAsia="Open Sans" w:cs="Open Sans" w:ascii="Open Sans" w:hAnsi="Open Sans"/>
          <w:sz w:val="20"/>
          <w:szCs w:val="20"/>
          <w:lang w:val="es-CO"/>
        </w:rPr>
        <w:t xml:space="preserve">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Ejes y Escalas Claras:</w:t>
      </w:r>
      <w:r>
        <w:rPr>
          <w:rFonts w:eastAsia="Open Sans" w:cs="Open Sans" w:ascii="Open Sans" w:hAnsi="Open Sans"/>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Matplotlib y Plotly:</w:t>
      </w:r>
      <w:r>
        <w:rPr>
          <w:rFonts w:eastAsia="Open Sans" w:cs="Open Sans" w:ascii="Open Sans" w:hAnsi="Open Sans"/>
          <w:sz w:val="20"/>
          <w:szCs w:val="20"/>
          <w:lang w:val="es-CO"/>
        </w:rPr>
        <w:t xml:space="preserve">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Theme="minorHAnsi" w:cstheme="minorBidi" w:eastAsiaTheme="minorHAnsi" w:hAnsiTheme="minorHAnsi"/>
          <w:highlight w:val="none"/>
          <w:shd w:fill="auto" w:val="clear"/>
        </w:rPr>
      </w:pPr>
      <w:r>
        <w:rPr>
          <w:rFonts w:eastAsia="Open Sans" w:cs="Open Sans" w:ascii="Open Sans" w:hAnsi="Open Sans"/>
          <w:b w:val="false"/>
          <w:color w:val="C586C0"/>
          <w:sz w:val="20"/>
          <w:szCs w:val="20"/>
          <w:shd w:fill="auto" w:val="clear"/>
          <w:lang w:val="es-CO"/>
        </w:rPr>
        <w:t>import</w:t>
      </w:r>
      <w:r>
        <w:rPr>
          <w:rFonts w:eastAsia="Open Sans" w:cs="Open Sans" w:ascii="Open Sans" w:hAnsi="Open Sans"/>
          <w:b w:val="false"/>
          <w:color w:val="CCCCCC"/>
          <w:sz w:val="20"/>
          <w:szCs w:val="20"/>
          <w:shd w:fill="auto" w:val="clear"/>
          <w:lang w:val="es-CO"/>
        </w:rPr>
        <w:t xml:space="preserve"> </w:t>
      </w:r>
      <w:r>
        <w:rPr>
          <w:rFonts w:eastAsia="Open Sans" w:cs="Open Sans" w:ascii="Open Sans" w:hAnsi="Open Sans"/>
          <w:b w:val="false"/>
          <w:color w:val="4EC9B0"/>
          <w:sz w:val="20"/>
          <w:szCs w:val="20"/>
          <w:shd w:fill="auto" w:val="clear"/>
          <w:lang w:val="es-CO"/>
        </w:rPr>
        <w:t>numpy</w:t>
      </w:r>
      <w:r>
        <w:rPr>
          <w:rFonts w:eastAsia="Open Sans" w:cs="Open Sans" w:ascii="Open Sans" w:hAnsi="Open Sans"/>
          <w:b w:val="false"/>
          <w:color w:val="CCCCCC"/>
          <w:sz w:val="20"/>
          <w:szCs w:val="20"/>
          <w:shd w:fill="auto" w:val="clear"/>
          <w:lang w:val="es-CO"/>
        </w:rPr>
        <w:t xml:space="preserve"> </w:t>
      </w:r>
      <w:r>
        <w:rPr>
          <w:rFonts w:eastAsia="Open Sans" w:cs="Open Sans" w:ascii="Open Sans" w:hAnsi="Open Sans"/>
          <w:b w:val="false"/>
          <w:color w:val="C586C0"/>
          <w:sz w:val="20"/>
          <w:szCs w:val="20"/>
          <w:shd w:fill="auto" w:val="clear"/>
          <w:lang w:val="es-CO"/>
        </w:rPr>
        <w:t>as</w:t>
      </w:r>
      <w:r>
        <w:rPr>
          <w:rFonts w:eastAsia="Open Sans" w:cs="Open Sans" w:ascii="Open Sans" w:hAnsi="Open Sans"/>
          <w:b w:val="false"/>
          <w:color w:val="CCCCCC"/>
          <w:sz w:val="20"/>
          <w:szCs w:val="20"/>
          <w:shd w:fill="auto" w:val="clear"/>
          <w:lang w:val="es-CO"/>
        </w:rPr>
        <w:t xml:space="preserve"> </w:t>
      </w:r>
      <w:r>
        <w:rPr>
          <w:rFonts w:eastAsia="Open Sans" w:cs="Open Sans" w:ascii="Open Sans" w:hAnsi="Open Sans"/>
          <w:b w:val="false"/>
          <w:color w:val="4EC9B0"/>
          <w:sz w:val="20"/>
          <w:szCs w:val="20"/>
          <w:shd w:fill="auto" w:val="clear"/>
          <w:lang w:val="es-CO"/>
        </w:rPr>
        <w:t>np</w:t>
      </w:r>
      <w:r>
        <w:rPr>
          <w:rFonts w:eastAsia="Open Sans" w:cs="Open Sans" w:ascii="Open Sans" w:hAnsi="Open Sans"/>
          <w:b w:val="false"/>
          <w:color w:val="CCCCCC"/>
          <w:sz w:val="20"/>
          <w:szCs w:val="20"/>
          <w:shd w:fill="auto" w:val="clear"/>
          <w:lang w:val="es-CO"/>
        </w:rPr>
        <w:t xml:space="preserve">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matplotlib</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4EC9B0"/>
          <w:sz w:val="21"/>
          <w:shd w:fill="auto" w:val="clear"/>
        </w:rPr>
        <w:t>pyplot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plt</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t># Graficar la función</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figure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figsize</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4</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2</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incremento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0.2</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np</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arange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4</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4</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incremento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incremento</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569CD6"/>
          <w:sz w:val="21"/>
          <w:shd w:fill="auto" w:val="clear"/>
        </w:rPr>
        <w:t>def</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CDCAA"/>
          <w:sz w:val="21"/>
          <w:shd w:fill="auto" w:val="clear"/>
        </w:rPr>
        <w:t>f</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return</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x</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2</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4</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f_values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CDCAA"/>
          <w:sz w:val="21"/>
          <w:shd w:fill="auto" w:val="clear"/>
        </w:rPr>
        <w:t>f</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plot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f_values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label</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'f(x) = x^2 - 4'</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axhline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y</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color</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'r'</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linestyle</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label</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'y = 0'</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xlabel</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'x'</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ylabel</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'y'</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title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'Gráfico de la Función f(x)'</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legend</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grid</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569CD6"/>
          <w:sz w:val="21"/>
          <w:shd w:fill="auto" w:val="clear"/>
        </w:rPr>
        <w:t>True</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savefig</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'/home/marco/Documentos/docencia/calculo/'</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'referents/1_precalculo_stewart/1_fundamentos/1_5_ecuaciones'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'/6_propuesta_presentada_congreso_humanos_XXI/3_este_articulo_en_cuaderno_jupyter'</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'/2_imagenes_y_tablas_de_este_articulo/figura_9.jpg'</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show</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657600" cy="18288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657600" cy="1828800"/>
                    </a:xfrm>
                    <a:prstGeom prst="rect">
                      <a:avLst/>
                    </a:prstGeom>
                  </pic:spPr>
                </pic:pic>
              </a:graphicData>
            </a:graphic>
          </wp:anchor>
        </w:drawing>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jc w:val="center"/>
        <w:rPr/>
      </w:pPr>
      <w:r>
        <w:rPr>
          <w:rFonts w:eastAsia="Open Sans" w:cs="Open Sans" w:ascii="Open Sans" w:hAnsi="Open Sans"/>
          <w:b/>
          <w:bCs/>
          <w:sz w:val="20"/>
          <w:szCs w:val="20"/>
          <w:lang w:val="es-CO"/>
        </w:rPr>
        <w:t>Figura 9</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Incorporar Ipywidgets:</w:t>
      </w:r>
      <w:r>
        <w:rPr>
          <w:rFonts w:eastAsia="Open Sans" w:cs="Open Sans" w:ascii="Open Sans" w:hAnsi="Open Sans"/>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Theme="minorHAnsi" w:cstheme="minorBidi" w:eastAsiaTheme="minorHAnsi" w:hAnsiTheme="minorHAnsi"/>
          <w:highlight w:val="none"/>
          <w:shd w:fill="auto" w:val="clear"/>
        </w:rPr>
      </w:pPr>
      <w:r>
        <w:rPr>
          <w:rFonts w:eastAsia="Open Sans" w:cs="Open Sans" w:ascii="Open Sans" w:hAnsi="Open Sans"/>
          <w:b w:val="false"/>
          <w:color w:val="C586C0"/>
          <w:sz w:val="20"/>
          <w:szCs w:val="20"/>
          <w:shd w:fill="auto" w:val="clear"/>
          <w:lang w:val="es-CO"/>
        </w:rPr>
        <w:t>import</w:t>
      </w:r>
      <w:r>
        <w:rPr>
          <w:rFonts w:eastAsia="Open Sans" w:cs="Open Sans" w:ascii="Open Sans" w:hAnsi="Open Sans"/>
          <w:b w:val="false"/>
          <w:color w:val="CCCCCC"/>
          <w:sz w:val="20"/>
          <w:szCs w:val="20"/>
          <w:shd w:fill="auto" w:val="clear"/>
          <w:lang w:val="es-CO"/>
        </w:rPr>
        <w:t xml:space="preserve"> </w:t>
      </w:r>
      <w:r>
        <w:rPr>
          <w:rFonts w:eastAsia="Open Sans" w:cs="Open Sans" w:ascii="Open Sans" w:hAnsi="Open Sans"/>
          <w:b w:val="false"/>
          <w:color w:val="4EC9B0"/>
          <w:sz w:val="20"/>
          <w:szCs w:val="20"/>
          <w:shd w:fill="auto" w:val="clear"/>
          <w:lang w:val="es-CO"/>
        </w:rPr>
        <w:t>matplotlib</w:t>
      </w:r>
      <w:r>
        <w:rPr>
          <w:rFonts w:eastAsia="Open Sans" w:cs="Open Sans" w:ascii="Open Sans" w:hAnsi="Open Sans"/>
          <w:b w:val="false"/>
          <w:color w:val="CCCCCC"/>
          <w:sz w:val="20"/>
          <w:szCs w:val="20"/>
          <w:shd w:fill="auto" w:val="clear"/>
          <w:lang w:val="es-CO"/>
        </w:rPr>
        <w:t>.</w:t>
      </w:r>
      <w:r>
        <w:rPr>
          <w:rFonts w:eastAsia="Open Sans" w:cs="Open Sans" w:ascii="Open Sans" w:hAnsi="Open Sans"/>
          <w:b w:val="false"/>
          <w:color w:val="4EC9B0"/>
          <w:sz w:val="20"/>
          <w:szCs w:val="20"/>
          <w:shd w:fill="auto" w:val="clear"/>
          <w:lang w:val="es-CO"/>
        </w:rPr>
        <w:t>pyplot</w:t>
      </w:r>
      <w:r>
        <w:rPr>
          <w:rFonts w:eastAsia="Open Sans" w:cs="Open Sans" w:ascii="Open Sans" w:hAnsi="Open Sans"/>
          <w:b w:val="false"/>
          <w:color w:val="CCCCCC"/>
          <w:sz w:val="20"/>
          <w:szCs w:val="20"/>
          <w:shd w:fill="auto" w:val="clear"/>
          <w:lang w:val="es-CO"/>
        </w:rPr>
        <w:t xml:space="preserve"> </w:t>
      </w:r>
      <w:r>
        <w:rPr>
          <w:rFonts w:eastAsia="Open Sans" w:cs="Open Sans" w:ascii="Open Sans" w:hAnsi="Open Sans"/>
          <w:b w:val="false"/>
          <w:color w:val="C586C0"/>
          <w:sz w:val="20"/>
          <w:szCs w:val="20"/>
          <w:shd w:fill="auto" w:val="clear"/>
          <w:lang w:val="es-CO"/>
        </w:rPr>
        <w:t>as</w:t>
      </w:r>
      <w:r>
        <w:rPr>
          <w:rFonts w:eastAsia="Open Sans" w:cs="Open Sans" w:ascii="Open Sans" w:hAnsi="Open Sans"/>
          <w:b w:val="false"/>
          <w:color w:val="CCCCCC"/>
          <w:sz w:val="20"/>
          <w:szCs w:val="20"/>
          <w:shd w:fill="auto" w:val="clear"/>
          <w:lang w:val="es-CO"/>
        </w:rPr>
        <w:t xml:space="preserve"> </w:t>
      </w:r>
      <w:r>
        <w:rPr>
          <w:rFonts w:eastAsia="Open Sans" w:cs="Open Sans" w:ascii="Open Sans" w:hAnsi="Open Sans"/>
          <w:b w:val="false"/>
          <w:color w:val="4EC9B0"/>
          <w:sz w:val="20"/>
          <w:szCs w:val="20"/>
          <w:shd w:fill="auto" w:val="clear"/>
          <w:lang w:val="es-CO"/>
        </w:rPr>
        <w:t>plt</w:t>
      </w:r>
      <w:r>
        <w:rPr>
          <w:rFonts w:eastAsia="Open Sans" w:cs="Open Sans" w:ascii="Open Sans" w:hAnsi="Open Sans"/>
          <w:b w:val="false"/>
          <w:color w:val="CCCCCC"/>
          <w:sz w:val="20"/>
          <w:szCs w:val="20"/>
          <w:shd w:fill="auto" w:val="clear"/>
          <w:lang w:val="es-CO"/>
        </w:rPr>
        <w:t xml:space="preserve">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numpy</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np</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from</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ipywidgets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interact</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569CD6"/>
          <w:sz w:val="21"/>
          <w:shd w:fill="auto" w:val="clear"/>
        </w:rPr>
        <w:t>def</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CDCAA"/>
          <w:sz w:val="21"/>
          <w:shd w:fill="auto" w:val="clear"/>
        </w:rPr>
        <w:t>actualizar_grafico</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np</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arange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0.1</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y</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DCDCAA"/>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DCDCAA"/>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2</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DCDCAA"/>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figure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figsize</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4</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2</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plot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y</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label</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569CD6"/>
          <w:sz w:val="21"/>
          <w:shd w:fill="auto" w:val="clear"/>
        </w:rPr>
        <w:t>f</w:t>
      </w:r>
      <w:r>
        <w:rPr>
          <w:rFonts w:asciiTheme="minorHAnsi" w:cstheme="minorBidi" w:eastAsiaTheme="minorHAnsi" w:hAnsiTheme="minorHAnsi" w:ascii="Droid Sans Mono;monospace;monospace" w:hAnsi="Droid Sans Mono;monospace;monospace"/>
          <w:b w:val="false"/>
          <w:color w:val="CE9178"/>
          <w:sz w:val="21"/>
          <w:shd w:fill="auto" w:val="clear"/>
        </w:rPr>
        <w:t xml:space="preserve">'y = </w:t>
      </w:r>
      <w:r>
        <w:rPr>
          <w:rFonts w:asciiTheme="minorHAnsi" w:cstheme="minorBidi" w:eastAsiaTheme="minorHAnsi" w:hAnsiTheme="minorHAnsi" w:ascii="Droid Sans Mono;monospace;monospace" w:hAnsi="Droid Sans Mono;monospace;monospace"/>
          <w:b w:val="false"/>
          <w:color w:val="569CD6"/>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569CD6"/>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 xml:space="preserve">x^2 + </w:t>
      </w:r>
      <w:r>
        <w:rPr>
          <w:rFonts w:asciiTheme="minorHAnsi" w:cstheme="minorBidi" w:eastAsiaTheme="minorHAnsi" w:hAnsiTheme="minorHAnsi" w:ascii="Droid Sans Mono;monospace;monospace" w:hAnsi="Droid Sans Mono;monospace;monospace"/>
          <w:b w:val="false"/>
          <w:color w:val="569CD6"/>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569CD6"/>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 xml:space="preserve">x + </w:t>
      </w:r>
      <w:r>
        <w:rPr>
          <w:rFonts w:asciiTheme="minorHAnsi" w:cstheme="minorBidi" w:eastAsiaTheme="minorHAnsi" w:hAnsiTheme="minorHAnsi" w:ascii="Droid Sans Mono;monospace;monospace" w:hAnsi="Droid Sans Mono;monospace;monospace"/>
          <w:b w:val="false"/>
          <w:color w:val="569CD6"/>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c</w:t>
      </w:r>
      <w:r>
        <w:rPr>
          <w:rFonts w:asciiTheme="minorHAnsi" w:cstheme="minorBidi" w:eastAsiaTheme="minorHAnsi" w:hAnsiTheme="minorHAnsi" w:ascii="Droid Sans Mono;monospace;monospace" w:hAnsi="Droid Sans Mono;monospace;monospace"/>
          <w:b w:val="false"/>
          <w:color w:val="569CD6"/>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axhline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y</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color</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'r'</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linestyle</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label</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'y = 0'</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xlabel</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'x'</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ylabel</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'y'</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title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'Interacción con Ecuaciones Cuadráticas'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legend</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grid</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569CD6"/>
          <w:sz w:val="21"/>
          <w:shd w:fill="auto" w:val="clear"/>
        </w:rPr>
        <w:t>True</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axis</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6</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6</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50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50</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savefig</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'/home/marco/Documentos/docencia/calculo/referents/1_precalculo_stewart/1_fundamentos/1_5_ecuaciones/6_propuesta_presentada_congreso_humanos_XXI/3_este_articulo_en_cuaderno_jupyter/2_imagenes_y_tablas_de_este_articulo/'</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'figura_10_experimentar_con_los_parametros_de_una_funcion_cuadratica.jpg'</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show</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interact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actualizar_grafico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657600" cy="18288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657600" cy="1828800"/>
                    </a:xfrm>
                    <a:prstGeom prst="rect">
                      <a:avLst/>
                    </a:prstGeom>
                  </pic:spPr>
                </pic:pic>
              </a:graphicData>
            </a:graphic>
          </wp:anchor>
        </w:drawing>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jc w:val="center"/>
        <w:rPr>
          <w:b/>
          <w:bCs/>
        </w:rPr>
      </w:pPr>
      <w:r>
        <w:rPr>
          <w:rFonts w:eastAsia="Open Sans" w:cs="Open Sans" w:ascii="Open Sans" w:hAnsi="Open Sans"/>
          <w:b/>
          <w:bCs/>
          <w:sz w:val="20"/>
          <w:szCs w:val="20"/>
          <w:lang w:val="es-CO"/>
        </w:rPr>
        <w:t xml:space="preserve">Figura 10 </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REFERENCIAS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pPr>
      <w:r>
        <w:rPr>
          <w:rFonts w:eastAsia="Open Sans" w:cs="Open Sans" w:ascii="Arial" w:hAnsi="Arial"/>
          <w:b w:val="false"/>
          <w:bCs w:val="false"/>
          <w:sz w:val="20"/>
          <w:szCs w:val="20"/>
          <w:lang w:val="es-CO"/>
        </w:rPr>
        <w:t xml:space="preserve">[1]  Gasco-Txabarri, J. (2017). La resolución de problemas aritmético-algebraicos y las estrategias de aprendizaje en matemáticas. Un estudio en educación secundaria obligatoria (ESO). *Revista Latinoamericana de Investigación en Matemática Educativa, 20*(2), 167-192. Recuperado de: </w:t>
      </w:r>
      <w:hyperlink r:id="rId6">
        <w:r>
          <w:rPr>
            <w:rStyle w:val="Hyperlink"/>
            <w:rFonts w:eastAsia="Open Sans" w:cs="Open Sans" w:ascii="Arial" w:hAnsi="Arial"/>
            <w:b w:val="false"/>
            <w:bCs w:val="false"/>
            <w:sz w:val="20"/>
            <w:szCs w:val="20"/>
            <w:lang w:val="es-CO"/>
          </w:rPr>
          <w:t>https://www.redalyc.org/journal/335/33552356003/33552356003.pdf</w:t>
        </w:r>
      </w:hyperlink>
      <w:r>
        <w:rPr>
          <w:rFonts w:eastAsia="Open Sans" w:cs="Open Sans" w:ascii="Arial" w:hAnsi="Arial"/>
          <w:b w:val="false"/>
          <w:bCs w:val="false"/>
          <w:sz w:val="20"/>
          <w:szCs w:val="20"/>
          <w:lang w:val="es-CO"/>
        </w:rPr>
        <w:t xml:space="preserve">   </w:t>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 </w:t>
      </w:r>
    </w:p>
    <w:p>
      <w:pPr>
        <w:pStyle w:val="Normal"/>
        <w:ind w:right="-1"/>
        <w:rPr>
          <w:rFonts w:ascii="Arial" w:hAnsi="Arial"/>
          <w:sz w:val="20"/>
          <w:szCs w:val="20"/>
        </w:rPr>
      </w:pPr>
      <w:r>
        <w:rPr>
          <w:rFonts w:eastAsia="Open Sans" w:cs="Open Sans" w:ascii="Arial" w:hAnsi="Arial"/>
          <w:b w:val="false"/>
          <w:bCs w:val="false"/>
          <w:color w:val="000000"/>
          <w:sz w:val="20"/>
          <w:szCs w:val="20"/>
          <w:shd w:fill="auto" w:val="clear"/>
          <w:lang w:val="es-CO"/>
        </w:rPr>
        <w:t>[2] A. V. Maldonado Rodríguez, "Estrategia didáctica basada en la caracterización de errores para desarrollar el pensamiento variacional en la solución de ecuaciones de primer grado con una incógnita en estudiantes de grado octavo de la Institución Educativa Santa Ana de San Sebastián de Mariquita," 2018. [Online]. Available: https://repository.ut.edu.co/server/api/core/bitstreams/81fe53d7-c581-4bd4-af6e-2b3a99e6e8c0/content</w:t>
      </w:r>
    </w:p>
    <w:p>
      <w:pPr>
        <w:pStyle w:val="Normal"/>
        <w:ind w:right="-1"/>
        <w:rPr>
          <w:rFonts w:ascii="Arial" w:hAnsi="Arial" w:eastAsia="Calibri" w:cs="" w:cstheme="minorBidi" w:eastAsiaTheme="minorHAnsi"/>
          <w:color w:val="000000"/>
          <w:sz w:val="20"/>
          <w:szCs w:val="20"/>
          <w:highlight w:val="none"/>
          <w:shd w:fill="auto" w:val="clear"/>
        </w:rPr>
      </w:pPr>
      <w:r>
        <w:rPr>
          <w:rFonts w:eastAsia="Calibri" w:cs="" w:cstheme="minorBidi" w:eastAsiaTheme="minorHAnsi" w:ascii="Arial" w:hAnsi="Arial"/>
          <w:color w:val="000000"/>
          <w:sz w:val="20"/>
          <w:szCs w:val="20"/>
          <w:shd w:fill="auto" w:val="clear"/>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[3] Aguhayon, H., Tingson, R., &amp; Pentang, J. (2023). Addressing students learning gaps in mathematics through differentiated instruction. </w:t>
      </w:r>
      <w:r>
        <w:rPr>
          <w:rFonts w:eastAsia="Open Sans" w:cs="Open Sans" w:ascii="Arial" w:hAnsi="Arial"/>
          <w:b w:val="false"/>
          <w:bCs w:val="false"/>
          <w:i/>
          <w:sz w:val="20"/>
          <w:szCs w:val="20"/>
          <w:lang w:val="es-CO"/>
        </w:rPr>
        <w:t>International Journal of Educational Management and Development Studies</w:t>
      </w:r>
      <w:r>
        <w:rPr>
          <w:rFonts w:eastAsia="Open Sans" w:cs="Open Sans" w:ascii="Arial" w:hAnsi="Arial"/>
          <w:b w:val="false"/>
          <w:bCs w:val="false"/>
          <w:sz w:val="20"/>
          <w:szCs w:val="20"/>
          <w:lang w:val="es-CO"/>
        </w:rPr>
        <w:t xml:space="preserve">, </w:t>
      </w:r>
      <w:r>
        <w:rPr>
          <w:rFonts w:eastAsia="Open Sans" w:cs="Open Sans" w:ascii="Arial" w:hAnsi="Arial"/>
          <w:b w:val="false"/>
          <w:bCs w:val="false"/>
          <w:i/>
          <w:sz w:val="20"/>
          <w:szCs w:val="20"/>
          <w:lang w:val="es-CO"/>
        </w:rPr>
        <w:t>4</w:t>
      </w:r>
      <w:r>
        <w:rPr>
          <w:rFonts w:eastAsia="Open Sans" w:cs="Open Sans" w:ascii="Arial" w:hAnsi="Arial"/>
          <w:b w:val="false"/>
          <w:bCs w:val="false"/>
          <w:sz w:val="20"/>
          <w:szCs w:val="20"/>
          <w:lang w:val="es-CO"/>
        </w:rPr>
        <w:t>(1), 69-87. Available: https://papers.ssrn.com/sol3/papers.cfm?abstract_id=4390130</w:t>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[4] </w:t>
      </w:r>
      <w:r>
        <w:rPr>
          <w:rFonts w:eastAsia="Open Sans" w:cs="Open Sans" w:ascii="Arial" w:hAnsi="Arial"/>
          <w:b w:val="false"/>
          <w:bCs w:val="false"/>
          <w:i w:val="false"/>
          <w:caps w:val="false"/>
          <w:smallCaps w:val="false"/>
          <w:color w:val="222222"/>
          <w:spacing w:val="0"/>
          <w:sz w:val="20"/>
          <w:szCs w:val="20"/>
          <w:lang w:val="es-CO"/>
        </w:rPr>
        <w:t>Brousseau, G. (1986). Fundamentos y métodos de la Didáctica de la Matemática. </w:t>
      </w:r>
      <w:r>
        <w:rPr>
          <w:rFonts w:eastAsia="Open Sans" w:cs="Open Sans" w:ascii="Arial" w:hAnsi="Arial"/>
          <w:b w:val="false"/>
          <w:bCs w:val="false"/>
          <w:i/>
          <w:color w:val="222222"/>
          <w:spacing w:val="0"/>
          <w:sz w:val="20"/>
          <w:szCs w:val="20"/>
          <w:lang w:val="es-CO"/>
        </w:rPr>
        <w:t>Recherches en didactique des mathematiques</w:t>
      </w:r>
      <w:r>
        <w:rPr>
          <w:rFonts w:eastAsia="Open Sans" w:cs="Open Sans" w:ascii="Arial" w:hAnsi="Arial"/>
          <w:b w:val="false"/>
          <w:bCs w:val="false"/>
          <w:i w:val="false"/>
          <w:caps w:val="false"/>
          <w:smallCaps w:val="false"/>
          <w:color w:val="222222"/>
          <w:spacing w:val="0"/>
          <w:sz w:val="20"/>
          <w:szCs w:val="20"/>
          <w:lang w:val="es-CO"/>
        </w:rPr>
        <w:t>, </w:t>
      </w:r>
      <w:r>
        <w:rPr>
          <w:rFonts w:eastAsia="Open Sans" w:cs="Open Sans" w:ascii="Arial" w:hAnsi="Arial"/>
          <w:b w:val="false"/>
          <w:bCs w:val="false"/>
          <w:i/>
          <w:color w:val="222222"/>
          <w:spacing w:val="0"/>
          <w:sz w:val="20"/>
          <w:szCs w:val="20"/>
          <w:lang w:val="es-CO"/>
        </w:rPr>
        <w:t>7</w:t>
      </w:r>
      <w:r>
        <w:rPr>
          <w:rFonts w:eastAsia="Open Sans" w:cs="Open Sans" w:ascii="Arial" w:hAnsi="Arial"/>
          <w:b w:val="false"/>
          <w:bCs w:val="false"/>
          <w:i w:val="false"/>
          <w:caps w:val="false"/>
          <w:smallCaps w:val="false"/>
          <w:color w:val="222222"/>
          <w:spacing w:val="0"/>
          <w:sz w:val="20"/>
          <w:szCs w:val="20"/>
          <w:lang w:val="es-CO"/>
        </w:rPr>
        <w:t>(2), 33-115.</w:t>
      </w:r>
      <w:r>
        <w:rPr>
          <w:rFonts w:eastAsia="Open Sans" w:cs="Open Sans" w:ascii="Arial" w:hAnsi="Arial"/>
          <w:b w:val="false"/>
          <w:bCs w:val="false"/>
          <w:i w:val="false"/>
          <w:caps w:val="false"/>
          <w:smallCaps w:val="false"/>
          <w:color w:val="222222"/>
          <w:spacing w:val="0"/>
          <w:sz w:val="20"/>
          <w:szCs w:val="20"/>
          <w:lang w:val="es-CO"/>
        </w:rPr>
        <w:t xml:space="preserve">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b w:val="false"/>
          <w:bCs w:val="false"/>
          <w:i w:val="false"/>
          <w:caps w:val="false"/>
          <w:smallCaps w:val="false"/>
          <w:color w:val="222222"/>
          <w:spacing w:val="0"/>
          <w:sz w:val="20"/>
          <w:szCs w:val="20"/>
          <w:lang w:val="es-CO"/>
        </w:rPr>
        <w:t xml:space="preserve">[5] </w:t>
      </w:r>
      <w:r>
        <w:rPr>
          <w:rFonts w:eastAsia="Open Sans" w:cs="Open Sans" w:ascii="Arial" w:hAnsi="Arial"/>
          <w:b w:val="false"/>
          <w:bCs w:val="false"/>
          <w:i w:val="false"/>
          <w:caps w:val="false"/>
          <w:smallCaps w:val="false"/>
          <w:color w:val="222222"/>
          <w:spacing w:val="0"/>
          <w:sz w:val="20"/>
          <w:szCs w:val="20"/>
          <w:lang w:val="es-CO"/>
        </w:rPr>
        <w:t>Brousseau, G. (2007). </w:t>
      </w:r>
      <w:r>
        <w:rPr>
          <w:rFonts w:eastAsia="Open Sans" w:cs="Open Sans" w:ascii="Arial" w:hAnsi="Arial"/>
          <w:b w:val="false"/>
          <w:bCs w:val="false"/>
          <w:i/>
          <w:caps w:val="false"/>
          <w:smallCaps w:val="false"/>
          <w:color w:val="222222"/>
          <w:spacing w:val="0"/>
          <w:sz w:val="20"/>
          <w:szCs w:val="20"/>
          <w:lang w:val="es-CO"/>
        </w:rPr>
        <w:t>Iniciación al estudio de la teoría de las situaciones didácticas/Introduction to study the theory of didactic situations: didáctico/didactic to algebra study</w:t>
      </w:r>
      <w:r>
        <w:rPr>
          <w:rFonts w:eastAsia="Open Sans" w:cs="Open Sans" w:ascii="Arial" w:hAnsi="Arial"/>
          <w:b w:val="false"/>
          <w:bCs w:val="false"/>
          <w:i w:val="false"/>
          <w:caps w:val="false"/>
          <w:smallCaps w:val="false"/>
          <w:color w:val="222222"/>
          <w:spacing w:val="0"/>
          <w:sz w:val="20"/>
          <w:szCs w:val="20"/>
          <w:lang w:val="es-CO"/>
        </w:rPr>
        <w:t> (Vol. 7). Libros del Zorzal.</w:t>
      </w:r>
      <w:r>
        <w:rPr>
          <w:rFonts w:eastAsia="Open Sans" w:cs="Open Sans" w:ascii="Arial" w:hAnsi="Arial"/>
          <w:b w:val="false"/>
          <w:bCs w:val="false"/>
          <w:i w:val="false"/>
          <w:caps w:val="false"/>
          <w:smallCaps w:val="false"/>
          <w:color w:val="222222"/>
          <w:spacing w:val="0"/>
          <w:sz w:val="20"/>
          <w:szCs w:val="20"/>
          <w:lang w:val="es-CO"/>
        </w:rPr>
        <w:t xml:space="preserve">  </w:t>
      </w:r>
    </w:p>
    <w:p>
      <w:pPr>
        <w:pStyle w:val="Normal"/>
        <w:ind w:right="-1"/>
        <w:rPr>
          <w:rFonts w:ascii="Arial" w:hAnsi="Arial" w:cstheme="minorBidi"/>
          <w:color w:val="000000"/>
          <w:sz w:val="20"/>
          <w:szCs w:val="20"/>
          <w:highlight w:val="none"/>
          <w:shd w:fill="auto" w:val="clear"/>
        </w:rPr>
      </w:pPr>
      <w:r>
        <w:rPr>
          <w:rFonts w:asciiTheme="minorHAnsi" w:cstheme="minorBidi" w:eastAsiaTheme="minorHAnsi" w:hAnsiTheme="minorHAnsi" w:ascii="Arial" w:hAnsi="Arial"/>
          <w:color w:val="000000"/>
          <w:sz w:val="20"/>
          <w:szCs w:val="20"/>
          <w:shd w:fill="auto" w:val="clear"/>
        </w:rPr>
      </w:r>
    </w:p>
    <w:p>
      <w:pPr>
        <w:pStyle w:val="Normal"/>
        <w:ind w:right="-1"/>
        <w:rPr>
          <w:rFonts w:ascii="Arial" w:hAnsi="Arial" w:cstheme="minorBidi"/>
          <w:b w:val="false"/>
          <w:color w:val="000000"/>
          <w:sz w:val="20"/>
          <w:szCs w:val="20"/>
          <w:highlight w:val="none"/>
          <w:shd w:fill="auto" w:val="clear"/>
        </w:rPr>
      </w:pPr>
      <w:r>
        <w:rPr>
          <w:rFonts w:eastAsia="Open Sans" w:cs="Open Sans" w:ascii="Arial" w:hAnsi="Arial"/>
          <w:b w:val="false"/>
          <w:bCs w:val="false"/>
          <w:i w:val="false"/>
          <w:caps w:val="false"/>
          <w:smallCaps w:val="false"/>
          <w:color w:val="000000"/>
          <w:spacing w:val="0"/>
          <w:sz w:val="20"/>
          <w:szCs w:val="20"/>
          <w:shd w:fill="auto" w:val="clear"/>
          <w:lang w:val="es-CO"/>
        </w:rPr>
        <w:t xml:space="preserve">[6] Guzman, M. (2002). </w:t>
      </w:r>
      <w:r>
        <w:rPr>
          <w:rFonts w:eastAsia="Open Sans" w:cs="Open Sans" w:ascii="Arial" w:hAnsi="Arial"/>
          <w:b w:val="false"/>
          <w:bCs w:val="false"/>
          <w:i/>
          <w:caps w:val="false"/>
          <w:smallCaps w:val="false"/>
          <w:color w:val="000000"/>
          <w:spacing w:val="0"/>
          <w:sz w:val="20"/>
          <w:szCs w:val="20"/>
          <w:shd w:fill="auto" w:val="clear"/>
          <w:lang w:val="es-CO"/>
        </w:rPr>
        <w:t>The Role of Visualization in the Teaching and Learning of Mathematical Analysis</w:t>
      </w:r>
      <w:r>
        <w:rPr>
          <w:rFonts w:eastAsia="Open Sans" w:cs="Open Sans" w:ascii="Arial" w:hAnsi="Arial"/>
          <w:b w:val="false"/>
          <w:bCs w:val="false"/>
          <w:i w:val="false"/>
          <w:caps w:val="false"/>
          <w:smallCaps w:val="false"/>
          <w:color w:val="000000"/>
          <w:spacing w:val="0"/>
          <w:sz w:val="20"/>
          <w:szCs w:val="20"/>
          <w:shd w:fill="auto" w:val="clear"/>
          <w:lang w:val="es-CO"/>
        </w:rPr>
        <w:t xml:space="preserve">. In A. Bishop et al. (Eds.), </w:t>
      </w:r>
      <w:r>
        <w:rPr>
          <w:rFonts w:eastAsia="Open Sans" w:cs="Open Sans" w:ascii="Arial" w:hAnsi="Arial"/>
          <w:b w:val="false"/>
          <w:bCs w:val="false"/>
          <w:i/>
          <w:caps w:val="false"/>
          <w:smallCaps w:val="false"/>
          <w:color w:val="000000"/>
          <w:spacing w:val="0"/>
          <w:sz w:val="20"/>
          <w:szCs w:val="20"/>
          <w:shd w:fill="auto" w:val="clear"/>
          <w:lang w:val="es-CO"/>
        </w:rPr>
        <w:t>Second International Handbook of Mathematics Education</w:t>
      </w:r>
      <w:r>
        <w:rPr>
          <w:rFonts w:eastAsia="Open Sans" w:cs="Open Sans" w:ascii="Arial" w:hAnsi="Arial"/>
          <w:b w:val="false"/>
          <w:bCs w:val="false"/>
          <w:i w:val="false"/>
          <w:caps w:val="false"/>
          <w:smallCaps w:val="false"/>
          <w:color w:val="000000"/>
          <w:spacing w:val="0"/>
          <w:sz w:val="20"/>
          <w:szCs w:val="20"/>
          <w:shd w:fill="auto" w:val="clear"/>
          <w:lang w:val="es-CO"/>
        </w:rPr>
        <w:t xml:space="preserve"> (pp. 695-718). Springer.</w:t>
      </w:r>
    </w:p>
    <w:p>
      <w:pPr>
        <w:pStyle w:val="Normal"/>
        <w:spacing w:lineRule="atLeast" w:line="285"/>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i w:val="false"/>
          <w:caps w:val="false"/>
          <w:smallCaps w:val="false"/>
          <w:color w:val="222222"/>
          <w:spacing w:val="0"/>
          <w:sz w:val="20"/>
          <w:szCs w:val="20"/>
          <w:lang w:val="es-CO"/>
        </w:rPr>
        <w:t>[</w:t>
      </w:r>
      <w:r>
        <w:rPr>
          <w:rFonts w:eastAsia="Open Sans" w:cs="Open Sans" w:ascii="Open Sans" w:hAnsi="Open Sans"/>
          <w:b w:val="false"/>
          <w:bCs w:val="false"/>
          <w:i w:val="false"/>
          <w:caps w:val="false"/>
          <w:smallCaps w:val="false"/>
          <w:color w:val="222222"/>
          <w:spacing w:val="0"/>
          <w:sz w:val="20"/>
          <w:szCs w:val="20"/>
          <w:lang w:val="es-CO"/>
        </w:rPr>
        <w:t xml:space="preserve">7] </w:t>
      </w:r>
      <w:r>
        <w:rPr>
          <w:rFonts w:eastAsia="Open Sans" w:cs="Open Sans" w:ascii="Arial;sans-serif" w:hAnsi="Arial;sans-serif"/>
          <w:b w:val="false"/>
          <w:bCs w:val="false"/>
          <w:i w:val="false"/>
          <w:caps w:val="false"/>
          <w:smallCaps w:val="false"/>
          <w:color w:val="222222"/>
          <w:spacing w:val="0"/>
          <w:sz w:val="20"/>
          <w:szCs w:val="20"/>
          <w:lang w:val="es-CO"/>
        </w:rPr>
        <w:t>Barba, L. A., Barker, L. J., Blank, D. S., Brown, J., Downey, A. B., George, T., ... &amp; Zingale, M. (2019). Teaching and learning with Jupyter. </w:t>
      </w:r>
      <w:r>
        <w:rPr>
          <w:rFonts w:eastAsia="Open Sans" w:cs="Open Sans" w:ascii="Arial;sans-serif" w:hAnsi="Arial;sans-serif"/>
          <w:b w:val="false"/>
          <w:bCs w:val="false"/>
          <w:i/>
          <w:caps w:val="false"/>
          <w:smallCaps w:val="false"/>
          <w:color w:val="222222"/>
          <w:spacing w:val="0"/>
          <w:sz w:val="20"/>
          <w:szCs w:val="20"/>
          <w:lang w:val="es-CO"/>
        </w:rPr>
        <w:t>Recuperado: https://jupyter4edu. github. io/jupyter-edu-book</w:t>
      </w:r>
      <w:r>
        <w:rPr>
          <w:rFonts w:eastAsia="Open Sans" w:cs="Open Sans" w:ascii="Arial;sans-serif" w:hAnsi="Arial;sans-serif"/>
          <w:b w:val="false"/>
          <w:bCs w:val="false"/>
          <w:i w:val="false"/>
          <w:caps w:val="false"/>
          <w:smallCaps w:val="false"/>
          <w:color w:val="222222"/>
          <w:spacing w:val="0"/>
          <w:sz w:val="20"/>
          <w:szCs w:val="20"/>
          <w:lang w:val="es-CO"/>
        </w:rPr>
        <w:t>, 1-77.</w:t>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[8] A. P. Gilakjani, "A Review of the Literature on the Integration of Technology into the Learning and Teaching of English Language Skills," </w:t>
      </w:r>
      <w:r>
        <w:rPr>
          <w:rStyle w:val="Emphasis"/>
          <w:rFonts w:eastAsia="Open Sans" w:cs="Open Sans" w:ascii="Open Sans" w:hAnsi="Open Sans"/>
          <w:b w:val="false"/>
          <w:bCs w:val="false"/>
          <w:sz w:val="20"/>
          <w:szCs w:val="20"/>
          <w:lang w:val="es-CO"/>
        </w:rPr>
        <w:t>International Journal of English Linguistics</w:t>
      </w:r>
      <w:r>
        <w:rPr>
          <w:rFonts w:eastAsia="Open Sans" w:cs="Open Sans" w:ascii="Open Sans" w:hAnsi="Open Sans"/>
          <w:b w:val="false"/>
          <w:bCs w:val="false"/>
          <w:sz w:val="20"/>
          <w:szCs w:val="20"/>
          <w:lang w:val="es-CO"/>
        </w:rPr>
        <w:t>, vol. 7, no. 5, pp. 95-106, 2017. DOI: 10.5539/ijel.v7n5p95.</w:t>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swiss"/>
    <w:pitch w:val="default"/>
  </w:font>
  <w:font w:name="arial">
    <w:charset w:val="01"/>
    <w:family w:val="roman"/>
    <w:pitch w:val="variable"/>
  </w:font>
  <w:font w:name="Droid Sans Mono">
    <w:altName w:val="monospace"/>
    <w:charset w:val="01"/>
    <w:family w:val="roman"/>
    <w:pitch w:val="variable"/>
  </w:font>
  <w:font w:name="KaTeX Main">
    <w:altName w:val="Times New Roman"/>
    <w:charset w:val="01"/>
    <w:family w:val="roman"/>
    <w:pitch w:val="variable"/>
  </w:font>
  <w:font w:name="Droid Sans Mono">
    <w:altName w:val="monospace"/>
    <w:charset w:val="01"/>
    <w:family w:val="auto"/>
    <w:pitch w:val="default"/>
  </w:font>
  <w:font w:name="Arial">
    <w:altName w:val="sans-serif"/>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22"/>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16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Characters15">
    <w:name w:val="Footnote Characters15"/>
    <w:qFormat/>
    <w:rPr>
      <w:vertAlign w:val="superscript"/>
    </w:rPr>
  </w:style>
  <w:style w:type="character" w:styleId="FootnoteCharacters16">
    <w:name w:val="Footnote Characters16"/>
    <w:qFormat/>
    <w:rPr>
      <w:vertAlign w:val="superscript"/>
    </w:rPr>
  </w:style>
  <w:style w:type="character" w:styleId="FootnoteCharacters17">
    <w:name w:val="Footnote Characters17"/>
    <w:qFormat/>
    <w:rPr>
      <w:vertAlign w:val="superscript"/>
    </w:rPr>
  </w:style>
  <w:style w:type="character" w:styleId="FootnoteCharacters18">
    <w:name w:val="Footnote Characters18"/>
    <w:qFormat/>
    <w:rPr>
      <w:vertAlign w:val="superscript"/>
    </w:rPr>
  </w:style>
  <w:style w:type="character" w:styleId="FootnoteCharacters19">
    <w:name w:val="Footnote Characters19"/>
    <w:qFormat/>
    <w:rPr>
      <w:vertAlign w:val="superscript"/>
    </w:rPr>
  </w:style>
  <w:style w:type="character" w:styleId="FootnoteCharacters20">
    <w:name w:val="Footnote Characters20"/>
    <w:qFormat/>
    <w:rPr>
      <w:vertAlign w:val="superscript"/>
    </w:rPr>
  </w:style>
  <w:style w:type="character" w:styleId="FootnoteCharacters21">
    <w:name w:val="Footnote Characters21"/>
    <w:qFormat/>
    <w:rPr>
      <w:vertAlign w:val="superscript"/>
    </w:rPr>
  </w:style>
  <w:style w:type="character" w:styleId="FootnoteCharacters22">
    <w:name w:val="Footnote Characters22"/>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Characters15">
    <w:name w:val="Endnote Characters15"/>
    <w:qFormat/>
    <w:rPr>
      <w:vertAlign w:val="superscript"/>
    </w:rPr>
  </w:style>
  <w:style w:type="character" w:styleId="EndnoteCharacters16">
    <w:name w:val="Endnote Characters16"/>
    <w:qFormat/>
    <w:rPr>
      <w:vertAlign w:val="superscript"/>
    </w:rPr>
  </w:style>
  <w:style w:type="character" w:styleId="EndnoteCharacters17">
    <w:name w:val="Endnote Characters17"/>
    <w:qFormat/>
    <w:rPr>
      <w:vertAlign w:val="superscript"/>
    </w:rPr>
  </w:style>
  <w:style w:type="character" w:styleId="EndnoteCharacters18">
    <w:name w:val="Endnote Characters18"/>
    <w:qFormat/>
    <w:rPr>
      <w:vertAlign w:val="superscript"/>
    </w:rPr>
  </w:style>
  <w:style w:type="character" w:styleId="EndnoteCharacters19">
    <w:name w:val="Endnote Characters19"/>
    <w:qFormat/>
    <w:rPr>
      <w:vertAlign w:val="superscript"/>
    </w:rPr>
  </w:style>
  <w:style w:type="character" w:styleId="EndnoteCharacters20">
    <w:name w:val="Endnote Characters20"/>
    <w:qFormat/>
    <w:rPr>
      <w:vertAlign w:val="superscript"/>
    </w:rPr>
  </w:style>
  <w:style w:type="character" w:styleId="EndnoteCharacters21">
    <w:name w:val="Endnote Characters21"/>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www.redalyc.org/journal/335/33552356003/33552356003.pdf" TargetMode="Externa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2290</TotalTime>
  <Application>LibreOffice/24.2.5.2$Linux_X86_64 LibreOffice_project/d6e8b0f3fc6e8af2b00cf4969fd0d2fa45b9a62e</Application>
  <AppVersion>15.0000</AppVersion>
  <Pages>21</Pages>
  <Words>7384</Words>
  <Characters>44823</Characters>
  <CharactersWithSpaces>52198</CharactersWithSpaces>
  <Paragraphs>541</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2024-09-08T11:18:03Z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