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Resumen: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y la identificación de soluciones de ecuaciones mediante gráficos interactivos.</w:t>
      </w:r>
    </w:p>
    <w:p>
      <w:pPr>
        <w:pStyle w:val="Normal"/>
        <w:ind w:right="-1"/>
        <w:rPr>
          <w:b w:val="false"/>
          <w:bCs w:val="false"/>
        </w:rPr>
      </w:pPr>
      <w:r>
        <w:rPr>
          <w:b w:val="false"/>
          <w:bCs w:val="false"/>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Palabras clave en español:</w:t>
      </w:r>
    </w:p>
    <w:p>
      <w:pPr>
        <w:pStyle w:val="Normal"/>
        <w:ind w:right="-1"/>
        <w:rPr>
          <w:b w:val="false"/>
          <w:bCs w:val="false"/>
        </w:rPr>
      </w:pPr>
      <w:r>
        <w:rPr>
          <w:rFonts w:eastAsia="Open Sans" w:cs="Open Sans" w:ascii="Open Sans" w:hAnsi="Open Sans"/>
          <w:b w:val="false"/>
          <w:bCs w:val="false"/>
          <w:spacing w:val="-1"/>
          <w:sz w:val="18"/>
          <w:szCs w:val="18"/>
          <w:lang w:val="es-CO"/>
        </w:rPr>
        <w:t>Resolución de ecuaciones, funciones, Python, Jupyter Notebooks, visualización gráfica, enseñanza de matemáticas,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Abstract: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The article discusses teaching equation solving through the concept of functions, using Python and Jupyter notebooks. It proposes an innovative approach that shifts away from traditional algebraic reasoning, favoring the observation, reading, and interpretation of tabular and graphical representations of functions. This approach aims to enhance conceptual understanding, student motivation, and their ability to apply technology in mathematical learning. The implementation relies on function visualization and identifying equation solutions through interactive graphs.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Keywords in English: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Equation solving, functions, Python, Jupyter Notebooks, graphical visualization, mathematics teaching, tabular representation.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o como una pregunta por los puntos donde, las funciones que forman los lados de la ecuación, son iguales; o entender la solución de una ecuación como buscar los puntos donde la función diferencia de los lados se hace cero.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REFERENCIAS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[1]  </w:t>
      </w:r>
      <w:r>
        <w:rPr>
          <w:rFonts w:eastAsia="Open Sans" w:cs="Open Sans" w:ascii="Open Sans" w:hAnsi="Open Sans"/>
          <w:b w:val="false"/>
          <w:bCs w:val="false"/>
          <w:sz w:val="20"/>
          <w:szCs w:val="20"/>
          <w:lang w:val="es-CO"/>
        </w:rPr>
        <w:t xml:space="preserve">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4">
        <w:r>
          <w:rPr>
            <w:rStyle w:val="Hyperlink"/>
            <w:rFonts w:eastAsia="Open Sans" w:cs="Open Sans" w:ascii="Open Sans" w:hAnsi="Open Sans"/>
            <w:b w:val="false"/>
            <w:bCs w:val="false"/>
            <w:sz w:val="20"/>
            <w:szCs w:val="20"/>
            <w:lang w:val="es-CO"/>
          </w:rPr>
          <w:t>https://www.redalyc.org/journal/335/33552356003/33552356003.pdf</w:t>
        </w:r>
      </w:hyperlink>
      <w:hyperlink r:id="rId5">
        <w:r>
          <w:rPr>
            <w:rFonts w:eastAsia="Open Sans" w:cs="Open Sans" w:ascii="Open Sans" w:hAnsi="Open Sans"/>
            <w:b w:val="false"/>
            <w:bCs w:val="false"/>
            <w:sz w:val="20"/>
            <w:szCs w:val="20"/>
            <w:lang w:val="es-CO"/>
          </w:rPr>
          <w:t xml:space="preserve">  </w:t>
        </w:r>
      </w:hyperlink>
    </w:p>
    <w:p>
      <w:pPr>
        <w:pStyle w:val="Normal"/>
        <w:ind w:right="-1"/>
        <w:rPr>
          <w:b/>
          <w:bCs/>
        </w:rPr>
      </w:pPr>
      <w:r>
        <w:rPr/>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Tall, D. (2004). Thinking through three worlds of mathematics. In M. J. Hoines &amp; A. B. Fuglestad (Eds.), </w:t>
      </w:r>
      <w:r>
        <w:rPr>
          <w:rFonts w:eastAsia="Open Sans" w:cs="Open Sans" w:ascii="Open Sans" w:hAnsi="Open Sans"/>
          <w:b w:val="false"/>
          <w:bCs w:val="false"/>
          <w:i/>
          <w:iCs/>
          <w:sz w:val="20"/>
          <w:szCs w:val="20"/>
          <w:lang w:val="es-CO"/>
        </w:rPr>
        <w:t>Proceedings of the 28th conference of the International Group for the Psychology of Mathematics Education</w:t>
      </w:r>
      <w:r>
        <w:rPr>
          <w:rFonts w:eastAsia="Open Sans" w:cs="Open Sans" w:ascii="Open Sans" w:hAnsi="Open Sans"/>
          <w:b w:val="false"/>
          <w:bCs w:val="false"/>
          <w:sz w:val="20"/>
          <w:szCs w:val="20"/>
          <w:lang w:val="es-CO"/>
        </w:rPr>
        <w:t xml:space="preserve"> (pp. 281-288).</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arial" w:hAnsi="arial"/>
          <w:b w:val="false"/>
          <w:bCs w:val="false"/>
          <w:i w:val="false"/>
          <w:iCs w:val="false"/>
          <w:spacing w:val="-1"/>
          <w:sz w:val="20"/>
          <w:szCs w:val="20"/>
          <w:lang w:val="es-CO"/>
        </w:rPr>
        <w:t>(Gasco-Txabarri, J. (2017). ).</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0"/>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9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redalyc.org/journal/335/33552356003/33552356003.pdf" TargetMode="External"/><Relationship Id="rId5" Type="http://schemas.openxmlformats.org/officeDocument/2006/relationships/hyperlink" Target=""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1279</TotalTime>
  <Application>LibreOffice/24.2.5.2$Linux_X86_64 LibreOffice_project/d6e8b0f3fc6e8af2b00cf4969fd0d2fa45b9a62e</Application>
  <AppVersion>15.0000</AppVersion>
  <Pages>20</Pages>
  <Words>7357</Words>
  <Characters>44693</Characters>
  <CharactersWithSpaces>52158</CharactersWithSpaces>
  <Paragraphs>538</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2024-09-04T22:05:17Z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