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w:t>
      </w:r>
      <w:r>
        <w:rPr>
          <w:rFonts w:eastAsia="Open Sans" w:cs="Open Sans" w:ascii="Arial" w:hAnsi="Arial"/>
          <w:b w:val="false"/>
          <w:bCs w:val="false"/>
          <w:spacing w:val="-1"/>
          <w:sz w:val="20"/>
          <w:szCs w:val="20"/>
          <w:lang w:val="es-CO"/>
        </w:rPr>
        <w:t>[9]</w:t>
      </w:r>
      <w:r>
        <w:rPr>
          <w:rFonts w:eastAsia="Open Sans" w:cs="Open Sans" w:ascii="Arial" w:hAnsi="Arial"/>
          <w:b w:val="false"/>
          <w:bCs w:val="false"/>
          <w:spacing w:val="-1"/>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r>
        <w:rPr>
          <w:rFonts w:eastAsia="Open Sans" w:cs="Open Sans" w:ascii="Arial" w:hAnsi="Arial"/>
          <w:b w:val="false"/>
          <w:bCs w:val="false"/>
          <w:color w:val="000000"/>
          <w:spacing w:val="-1"/>
          <w:sz w:val="20"/>
          <w:szCs w:val="20"/>
          <w:shd w:fill="auto" w:val="clear"/>
          <w:lang w:val="es-CO"/>
        </w:rPr>
        <w:t>[10]</w:t>
      </w:r>
      <w:r>
        <w:rPr>
          <w:rFonts w:eastAsia="Open Sans" w:cs="Open Sans" w:ascii="Arial" w:hAnsi="Arial"/>
          <w:b w:val="false"/>
          <w:bCs w:val="false"/>
          <w:color w:val="000000"/>
          <w:spacing w:val="-1"/>
          <w:sz w:val="20"/>
          <w:szCs w:val="20"/>
          <w:shd w:fill="auto" w:val="clear"/>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numpy</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np</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Graficar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'f(x) = x^2 - 4'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'Gráfico de la Función f(x)'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'referents/1_precalculo_stewart/1_fundamentos/1_5_ecuaciones'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'/6_propuesta_presentada_congreso_humanos_XXI/3_este_articulo_en_cuaderno_jupyter'</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'/2_imagenes_y_tablas_de_este_articulo/figura_9.jpg'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pPr>
      <w:r>
        <w:rPr>
          <w:rFonts w:eastAsia="Open Sans" w:cs="Open Sans" w:ascii="Open Sans" w:hAnsi="Open Sans"/>
          <w:b/>
          <w:bCs/>
          <w:sz w:val="20"/>
          <w:szCs w:val="20"/>
          <w:lang w:val="es-CO"/>
        </w:rPr>
        <w:t>Figura 9</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matplotlib</w:t>
      </w:r>
      <w:r>
        <w:rPr>
          <w:rFonts w:eastAsia="Open Sans" w:cs="Open Sans" w:ascii="Open Sans" w:hAnsi="Open Sans"/>
          <w:b w:val="false"/>
          <w:color w:val="CCCCCC"/>
          <w:sz w:val="20"/>
          <w:szCs w:val="20"/>
          <w:shd w:fill="auto" w:val="clear"/>
          <w:lang w:val="es-CO"/>
        </w:rPr>
        <w:t>.</w:t>
      </w:r>
      <w:r>
        <w:rPr>
          <w:rFonts w:eastAsia="Open Sans" w:cs="Open Sans" w:ascii="Open Sans" w:hAnsi="Open Sans"/>
          <w:b w:val="false"/>
          <w:color w:val="4EC9B0"/>
          <w:sz w:val="20"/>
          <w:szCs w:val="20"/>
          <w:shd w:fill="auto" w:val="clear"/>
          <w:lang w:val="es-CO"/>
        </w:rPr>
        <w:t>pyplot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plt</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ipywidgets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interact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f</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'y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x^2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'Interacción con Ecuaciones Cuadráticas'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axis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'figura_10_experimentar_con_los_parametros_de_una_funcion_cuadratica.jpg'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interact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b/>
          <w:bCs/>
        </w:rPr>
      </w:pPr>
      <w:r>
        <w:rPr>
          <w:rFonts w:eastAsia="Open Sans" w:cs="Open Sans" w:ascii="Open Sans" w:hAnsi="Open Sans"/>
          <w:b/>
          <w:bCs/>
          <w:sz w:val="20"/>
          <w:szCs w:val="20"/>
          <w:lang w:val="es-CO"/>
        </w:rPr>
        <w:t xml:space="preserve">Figura 10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w:t>
      </w:r>
      <w:r>
        <w:rPr>
          <w:rFonts w:eastAsia="Open Sans" w:cs="Open Sans" w:ascii="Arial" w:hAnsi="Arial"/>
          <w:b w:val="false"/>
          <w:bCs w:val="false"/>
          <w:i w:val="false"/>
          <w:caps w:val="false"/>
          <w:smallCaps w:val="false"/>
          <w:color w:val="222222"/>
          <w:spacing w:val="0"/>
          <w:sz w:val="20"/>
          <w:szCs w:val="20"/>
          <w:lang w:val="es-CO"/>
        </w:rPr>
        <w:t xml:space="preserve">7] </w:t>
      </w:r>
      <w:r>
        <w:rPr>
          <w:rFonts w:eastAsia="Open Sans" w:cs="Open Sans" w:ascii="Arial" w:hAnsi="Arial"/>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 w:hAnsi="Arial"/>
          <w:b w:val="false"/>
          <w:bCs w:val="false"/>
          <w:i/>
          <w:caps w:val="false"/>
          <w:smallCaps w:val="false"/>
          <w:color w:val="222222"/>
          <w:spacing w:val="0"/>
          <w:sz w:val="20"/>
          <w:szCs w:val="20"/>
          <w:lang w:val="es-CO"/>
        </w:rPr>
        <w:t>Recuperado: https://jupyter4edu. github. io/jupyter-edu-book</w:t>
      </w:r>
      <w:r>
        <w:rPr>
          <w:rFonts w:eastAsia="Open Sans" w:cs="Open Sans" w:ascii="Arial" w:hAnsi="Arial"/>
          <w:b w:val="false"/>
          <w:bCs w:val="false"/>
          <w:i w:val="false"/>
          <w:caps w:val="false"/>
          <w:smallCaps w:val="false"/>
          <w:color w:val="222222"/>
          <w:spacing w:val="0"/>
          <w:sz w:val="20"/>
          <w:szCs w:val="20"/>
          <w:lang w:val="es-CO"/>
        </w:rPr>
        <w:t>, 1-77.</w:t>
      </w:r>
    </w:p>
    <w:p>
      <w:pPr>
        <w:pStyle w:val="Normal"/>
        <w:ind w:right="-1"/>
        <w:rPr>
          <w:rFonts w:ascii="Arial" w:hAnsi="Arial"/>
          <w:sz w:val="20"/>
          <w:szCs w:val="20"/>
        </w:rPr>
      </w:pPr>
      <w:r>
        <w:rPr>
          <w:rFonts w:ascii="Arial" w:hAnsi="Arial"/>
          <w:sz w:val="20"/>
          <w:szCs w:val="20"/>
        </w:rPr>
      </w:r>
    </w:p>
    <w:p>
      <w:pPr>
        <w:pStyle w:val="Normal"/>
        <w:ind w:right="-1"/>
        <w:rPr/>
      </w:pPr>
      <w:r>
        <w:rPr>
          <w:rFonts w:eastAsia="Open Sans" w:cs="Open Sans" w:ascii="Arial" w:hAnsi="Arial"/>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Arial" w:hAnsi="Arial"/>
          <w:b w:val="false"/>
          <w:bCs w:val="false"/>
          <w:sz w:val="20"/>
          <w:szCs w:val="20"/>
          <w:lang w:val="es-CO"/>
        </w:rPr>
        <w:t>International Journal of English Linguistics</w:t>
      </w:r>
      <w:r>
        <w:rPr>
          <w:rFonts w:eastAsia="Open Sans" w:cs="Open Sans" w:ascii="Arial" w:hAnsi="Arial"/>
          <w:b w:val="false"/>
          <w:bCs w:val="false"/>
          <w:sz w:val="20"/>
          <w:szCs w:val="20"/>
          <w:lang w:val="es-CO"/>
        </w:rPr>
        <w:t xml:space="preserve">, vol. 7, no. 5, pp. 95-106, 2017. DOI: 10.5539/ijel.v7n5p95.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[9] </w:t>
      </w:r>
      <w:r>
        <w:rPr>
          <w:rFonts w:eastAsia="Open Sans" w:cs="Open Sans" w:ascii="Arial" w:hAnsi="Arial"/>
          <w:b w:val="false"/>
          <w:bCs w:val="false"/>
          <w:i w:val="false"/>
          <w:caps w:val="false"/>
          <w:smallCaps w:val="false"/>
          <w:color w:val="222222"/>
          <w:spacing w:val="0"/>
          <w:sz w:val="20"/>
          <w:szCs w:val="20"/>
          <w:lang w:val="es-CO"/>
        </w:rPr>
        <w:t>Román, Ó. C., &amp; Gaitero, Ó. G. (2017). El aprendizaje autorregulado y las estrategias de aprendizaje. </w:t>
      </w:r>
      <w:r>
        <w:rPr>
          <w:rFonts w:eastAsia="Open Sans" w:cs="Open Sans" w:ascii="Arial" w:hAnsi="Arial"/>
          <w:b w:val="false"/>
          <w:bCs w:val="false"/>
          <w:i/>
          <w:color w:val="222222"/>
          <w:spacing w:val="0"/>
          <w:sz w:val="20"/>
          <w:szCs w:val="20"/>
          <w:lang w:val="es-CO"/>
        </w:rPr>
        <w:t>Tendencias pedagógicas</w:t>
      </w:r>
      <w:r>
        <w:rPr>
          <w:rFonts w:eastAsia="Open Sans" w:cs="Open Sans" w:ascii="Arial" w:hAnsi="Arial"/>
          <w:b w:val="false"/>
          <w:bCs w:val="false"/>
          <w:i w:val="false"/>
          <w:caps w:val="false"/>
          <w:smallCaps w:val="false"/>
          <w:color w:val="222222"/>
          <w:spacing w:val="0"/>
          <w:sz w:val="20"/>
          <w:szCs w:val="20"/>
          <w:lang w:val="es-CO"/>
        </w:rPr>
        <w:t xml:space="preserve">, (30), 117-130. </w:t>
      </w:r>
      <w:r>
        <w:rPr>
          <w:rFonts w:eastAsia="Open Sans" w:cs="Open Sans" w:ascii="Arial" w:hAnsi="Arial"/>
          <w:b w:val="false"/>
          <w:bCs w:val="false"/>
          <w:i w:val="false"/>
          <w:caps w:val="false"/>
          <w:smallCaps w:val="false"/>
          <w:color w:val="222222"/>
          <w:spacing w:val="0"/>
          <w:sz w:val="20"/>
          <w:szCs w:val="20"/>
          <w:lang w:val="es-CO"/>
        </w:rPr>
        <w:t>Available: https://dialnet.unirioja.es/servlet/articulo?codigo=6164822</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2293</TotalTime>
  <Application>LibreOffice/24.2.5.2$Linux_X86_64 LibreOffice_project/d6e8b0f3fc6e8af2b00cf4969fd0d2fa45b9a62e</Application>
  <AppVersion>15.0000</AppVersion>
  <Pages>21</Pages>
  <Words>7407</Words>
  <Characters>45010</Characters>
  <CharactersWithSpaces>52409</CharactersWithSpaces>
  <Paragraphs>542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2024-09-08T12:17:53Z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