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Enseñar a resolver ecuaciones desde el concepto de función haciendo uso del lenguaje Python implementado a través de cuadernos Jupyter y las representaciones tabular y gráfica </w:t>
      </w:r>
      <w:r>
        <w:rPr>
          <w:rFonts w:eastAsia="Open Sans" w:cs="Open Sans" w:ascii="Open Sans" w:hAnsi="Open Sans"/>
          <w:w w:val="95"/>
          <w:sz w:val="28"/>
          <w:szCs w:val="20"/>
          <w:lang w:val="es-CO"/>
        </w:rPr>
        <w:t>de las funciones</w:t>
      </w:r>
      <w:r>
        <w:rPr>
          <w:rFonts w:eastAsia="Open Sans" w:cs="Open Sans" w:ascii="Open Sans" w:hAnsi="Open Sans"/>
          <w:w w:val="95"/>
          <w:sz w:val="28"/>
          <w:szCs w:val="20"/>
          <w:lang w:val="es-CO"/>
        </w:rPr>
        <w:t>,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 xml:space="preserve">1. Introducción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En el Seminario en Didáctica de la Aritmética del semestre 2024-1, impartido a los estudiantes de licenciatura en matemáticas de la Universidad de Antioquia, Campus Caucasia, </w:t>
      </w:r>
      <w:r>
        <w:rPr>
          <w:rFonts w:eastAsia="Open Sans" w:cs="Open Sans" w:ascii="Open Sans" w:hAnsi="Open Sans"/>
          <w:b w:val="false"/>
          <w:bCs w:val="false"/>
          <w:spacing w:val="-1"/>
          <w:sz w:val="20"/>
          <w:szCs w:val="20"/>
          <w:lang w:val="es-CO"/>
        </w:rPr>
        <w:t xml:space="preserve">a un grupo de 15 estudiantes, </w:t>
      </w:r>
      <w:r>
        <w:rPr>
          <w:rFonts w:eastAsia="Open Sans" w:cs="Open Sans" w:ascii="Open Sans" w:hAnsi="Open Sans"/>
          <w:b w:val="false"/>
          <w:bCs w:val="false"/>
          <w:spacing w:val="-1"/>
          <w:sz w:val="20"/>
          <w:szCs w:val="20"/>
          <w:lang w:val="es-CO"/>
        </w:rPr>
        <w:t xml:space="preserve">se han observado una serie de problemas recurrentes en el proceso de enseñanza y aprendizaje de la resolución de ecuaciones </w:t>
      </w:r>
      <w:r>
        <w:rPr>
          <w:rFonts w:eastAsia="Open Sans" w:cs="Open Sans" w:ascii="Open Sans" w:hAnsi="Open Sans"/>
          <w:b w:val="false"/>
          <w:bCs w:val="false"/>
          <w:spacing w:val="-1"/>
          <w:sz w:val="20"/>
          <w:szCs w:val="20"/>
          <w:lang w:val="es-CO"/>
        </w:rPr>
        <w:t>en los números reales</w:t>
      </w:r>
      <w:r>
        <w:rPr>
          <w:rFonts w:eastAsia="Open Sans" w:cs="Open Sans" w:ascii="Open Sans" w:hAnsi="Open Sans"/>
          <w:b w:val="false"/>
          <w:bCs w:val="false"/>
          <w:spacing w:val="-1"/>
          <w:sz w:val="20"/>
          <w:szCs w:val="20"/>
          <w:lang w:val="es-CO"/>
        </w:rPr>
        <w:t>.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Para abordar estos problemas, proponemos un enfoque innovador que se centra en enseñar la resolución de ecuaciones desde el concepto de función, utilizando el lenguaje Python implementado a través de cuadernos Jupyter y las representaciones tabular y gráfica </w:t>
      </w:r>
      <w:r>
        <w:rPr>
          <w:rFonts w:eastAsia="Open Sans" w:cs="Open Sans" w:ascii="Open Sans" w:hAnsi="Open Sans"/>
          <w:b w:val="false"/>
          <w:bCs w:val="false"/>
          <w:spacing w:val="-1"/>
          <w:sz w:val="20"/>
          <w:szCs w:val="20"/>
          <w:lang w:val="es-CO"/>
        </w:rPr>
        <w:t>de las funciones asociadas a la ecuación</w:t>
      </w:r>
      <w:r>
        <w:rPr>
          <w:rFonts w:eastAsia="Open Sans" w:cs="Open Sans" w:ascii="Open Sans" w:hAnsi="Open Sans"/>
          <w:b w:val="false"/>
          <w:bCs w:val="false"/>
          <w:spacing w:val="-1"/>
          <w:sz w:val="20"/>
          <w:szCs w:val="20"/>
          <w:lang w:val="es-CO"/>
        </w:rPr>
        <w:t>.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xml:space="preserve">Introducir el concepto de función como base para la resolución de ecuaciones permite a los estudiantes visualizar de manera tabular y gráfica y así entender mejor las ecuaciones </w:t>
      </w:r>
      <w:r>
        <w:rPr>
          <w:rFonts w:eastAsia="Open Sans" w:cs="Open Sans" w:ascii="Open Sans" w:hAnsi="Open Sans"/>
          <w:b w:val="false"/>
          <w:bCs w:val="false"/>
          <w:spacing w:val="-1"/>
          <w:sz w:val="20"/>
          <w:szCs w:val="20"/>
          <w:lang w:val="es-CO"/>
        </w:rPr>
        <w:t xml:space="preserve">como </w:t>
      </w:r>
      <w:r>
        <w:rPr>
          <w:rFonts w:eastAsia="Open Sans" w:cs="Open Sans" w:ascii="Open Sans" w:hAnsi="Open Sans"/>
          <w:b w:val="false"/>
          <w:bCs w:val="false"/>
          <w:spacing w:val="-1"/>
          <w:sz w:val="20"/>
          <w:szCs w:val="20"/>
          <w:lang w:val="es-CO"/>
        </w:rPr>
        <w:t>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r>
        <w:rPr>
          <w:rFonts w:eastAsia="Open Sans" w:cs="Open Sans" w:ascii="Open Sans" w:hAnsi="Open Sans"/>
          <w:b w:val="false"/>
          <w:bCs w:val="false"/>
          <w:spacing w:val="-1"/>
          <w:sz w:val="20"/>
          <w:szCs w:val="20"/>
          <w:lang w:val="es-CO"/>
        </w:rPr>
        <w:t>que faciliten al estudiante el resolver las ecuaciones por observación, lectura o interpretación de las representaciones ta bular y gráfica</w:t>
      </w:r>
      <w:r>
        <w:rPr>
          <w:rFonts w:eastAsia="Open Sans" w:cs="Open Sans" w:ascii="Open Sans" w:hAnsi="Open Sans"/>
          <w:b w:val="false"/>
          <w:bCs w:val="false"/>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 de manera manuscrita y con pandas, matplotlib, plotly 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lineales y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 de funciones modelo de una situación física.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 frente a las enormes dificultades de adquirir el lenguaje algebraico y de utilizarlo para la solución de problemas reales asociados a funciones y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Posibles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artículos que presentan cómo la dificultad para adoptar el lenguaje algebraico y la manipulación del mismo son razones clave detrás de las dificultades para resolver ecuaciones en la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**"Teaching Strategies to Improve Algebra Learning"**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**"A Systematic Review on Algebraic Thinking in Education"** -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Estos artículos proporcionan una visión comprensiva de los desafíos asociados con la adopción y manipulación del lenguaje algebraico en la resolución de ecuaciones en contextos educativos.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0"/>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767</TotalTime>
  <Application>LibreOffice/24.2.5.2$Linux_X86_64 LibreOffice_project/d6e8b0f3fc6e8af2b00cf4969fd0d2fa45b9a62e</Application>
  <AppVersion>15.0000</AppVersion>
  <Pages>17</Pages>
  <Words>7023</Words>
  <Characters>42617</Characters>
  <CharactersWithSpaces>49822</CharactersWithSpaces>
  <Paragraphs>467</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2024-07-30T21:22:06Z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