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han observado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 (Hiebert &amp; Carpenter, 1992).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pregunta por los puntos donde, las funciones que forman los lados de la ecuación, son iguales.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$$ 2x = x^{2} $$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f(x) = 2x - x^{2}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0"/>
          <w:szCs w:val="20"/>
          <w:highlight w:val="none"/>
          <w:shd w:fill="auto" w:val="clear"/>
        </w:rPr>
      </w:pPr>
      <w:r>
        <w:rPr>
          <w:rFonts w:asciiTheme="minorHAnsi" w:cstheme="minorBidi" w:eastAsiaTheme="minorHAnsi" w:hAnsiTheme="minorHAnsi" w:ascii="Droid Sans Mono;monospace;monospace" w:hAnsi="Droid Sans Mono;monospace;monospace"/>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2x = x^{2}</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numpy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569CD6"/>
          <w:sz w:val="21"/>
          <w:shd w:fill="auto" w:val="clear"/>
        </w:rPr>
        <w:t>def</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return</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dominio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rango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dominio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pandas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pd</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tabla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DataFrame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'numeros x'</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dominio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'valores y o f(x)'</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rango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tabla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theme="minorBidi"/>
          <w:b/>
          <w:bCs/>
          <w:color w:val="000000"/>
          <w:sz w:val="21"/>
          <w:highlight w:val="none"/>
          <w:shd w:fill="auto" w:val="clear"/>
        </w:rPr>
      </w:pPr>
      <w:r>
        <w:rPr>
          <w:rFonts w:asciiTheme="minorHAnsi" w:cstheme="minorBidi" w:eastAsiaTheme="minorHAnsi" w:hAnsiTheme="minorHAnsi" w:ascii="Droid Sans Mono;monospace;monospace" w:hAnsi="Droid Sans Mono;monospace;monospace"/>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20"/>
      </w:tblGrid>
      <w:tr>
        <w:trPr/>
        <w:tc>
          <w:tcPr>
            <w:tcW w:w="4320" w:type="dxa"/>
            <w:tcBorders/>
          </w:tcPr>
          <w:p>
            <w:pPr>
              <w:pStyle w:val="Normal"/>
              <w:rPr/>
            </w:pPr>
            <w:r>
              <w:rPr/>
              <w:t>numeros x</w:t>
            </w:r>
          </w:p>
        </w:tc>
        <w:tc>
          <w:tcPr>
            <w:tcW w:w="4320" w:type="dxa"/>
            <w:tcBorders/>
          </w:tcPr>
          <w:p>
            <w:pPr>
              <w:pStyle w:val="Normal"/>
              <w:rPr/>
            </w:pPr>
            <w:r>
              <w:rPr/>
              <w:t>valores y o f(x)</w:t>
            </w:r>
          </w:p>
        </w:tc>
      </w:tr>
      <w:tr>
        <w:trPr/>
        <w:tc>
          <w:tcPr>
            <w:tcW w:w="4320" w:type="dxa"/>
            <w:tcBorders/>
          </w:tcPr>
          <w:p>
            <w:pPr>
              <w:pStyle w:val="Normal"/>
              <w:rPr/>
            </w:pPr>
            <w:r>
              <w:rPr/>
              <w:t>-4</w:t>
            </w:r>
          </w:p>
        </w:tc>
        <w:tc>
          <w:tcPr>
            <w:tcW w:w="4320" w:type="dxa"/>
            <w:tcBorders/>
          </w:tcPr>
          <w:p>
            <w:pPr>
              <w:pStyle w:val="Normal"/>
              <w:rPr/>
            </w:pPr>
            <w:r>
              <w:rPr/>
              <w:t>-24</w:t>
            </w:r>
          </w:p>
        </w:tc>
      </w:tr>
      <w:tr>
        <w:trPr/>
        <w:tc>
          <w:tcPr>
            <w:tcW w:w="4320" w:type="dxa"/>
            <w:tcBorders/>
          </w:tcPr>
          <w:p>
            <w:pPr>
              <w:pStyle w:val="Normal"/>
              <w:rPr/>
            </w:pPr>
            <w:r>
              <w:rPr/>
              <w:t>-3</w:t>
            </w:r>
          </w:p>
        </w:tc>
        <w:tc>
          <w:tcPr>
            <w:tcW w:w="4320" w:type="dxa"/>
            <w:tcBorders/>
          </w:tcPr>
          <w:p>
            <w:pPr>
              <w:pStyle w:val="Normal"/>
              <w:rPr/>
            </w:pPr>
            <w:r>
              <w:rPr/>
              <w:t>-15</w:t>
            </w:r>
          </w:p>
        </w:tc>
      </w:tr>
      <w:tr>
        <w:trPr/>
        <w:tc>
          <w:tcPr>
            <w:tcW w:w="4320" w:type="dxa"/>
            <w:tcBorders/>
          </w:tcPr>
          <w:p>
            <w:pPr>
              <w:pStyle w:val="Normal"/>
              <w:rPr/>
            </w:pPr>
            <w:r>
              <w:rPr/>
              <w:t>-2</w:t>
            </w:r>
          </w:p>
        </w:tc>
        <w:tc>
          <w:tcPr>
            <w:tcW w:w="4320" w:type="dxa"/>
            <w:tcBorders/>
          </w:tcPr>
          <w:p>
            <w:pPr>
              <w:pStyle w:val="Normal"/>
              <w:rPr/>
            </w:pPr>
            <w:r>
              <w:rPr/>
              <w:t>-8</w:t>
            </w:r>
          </w:p>
        </w:tc>
      </w:tr>
      <w:tr>
        <w:trPr/>
        <w:tc>
          <w:tcPr>
            <w:tcW w:w="4320" w:type="dxa"/>
            <w:tcBorders/>
          </w:tcPr>
          <w:p>
            <w:pPr>
              <w:pStyle w:val="Normal"/>
              <w:rPr/>
            </w:pPr>
            <w:r>
              <w:rPr/>
              <w:t>-1</w:t>
            </w:r>
          </w:p>
        </w:tc>
        <w:tc>
          <w:tcPr>
            <w:tcW w:w="4320" w:type="dxa"/>
            <w:tcBorders/>
          </w:tcPr>
          <w:p>
            <w:pPr>
              <w:pStyle w:val="Normal"/>
              <w:rPr/>
            </w:pPr>
            <w:r>
              <w:rPr/>
              <w:t>-3</w:t>
            </w:r>
          </w:p>
        </w:tc>
      </w:tr>
      <w:tr>
        <w:trPr/>
        <w:tc>
          <w:tcPr>
            <w:tcW w:w="4320" w:type="dxa"/>
            <w:tcBorders/>
          </w:tcPr>
          <w:p>
            <w:pPr>
              <w:pStyle w:val="Normal"/>
              <w:rPr/>
            </w:pPr>
            <w:r>
              <w:rPr/>
              <w:t>0</w:t>
            </w:r>
          </w:p>
        </w:tc>
        <w:tc>
          <w:tcPr>
            <w:tcW w:w="4320" w:type="dxa"/>
            <w:tcBorders/>
          </w:tcPr>
          <w:p>
            <w:pPr>
              <w:pStyle w:val="Normal"/>
              <w:rPr/>
            </w:pPr>
            <w:r>
              <w:rPr/>
              <w:t>0</w:t>
            </w:r>
          </w:p>
        </w:tc>
      </w:tr>
      <w:tr>
        <w:trPr/>
        <w:tc>
          <w:tcPr>
            <w:tcW w:w="4320" w:type="dxa"/>
            <w:tcBorders/>
          </w:tcPr>
          <w:p>
            <w:pPr>
              <w:pStyle w:val="Normal"/>
              <w:rPr/>
            </w:pPr>
            <w:r>
              <w:rPr/>
              <w:t>1</w:t>
            </w:r>
          </w:p>
        </w:tc>
        <w:tc>
          <w:tcPr>
            <w:tcW w:w="4320" w:type="dxa"/>
            <w:tcBorders/>
          </w:tcPr>
          <w:p>
            <w:pPr>
              <w:pStyle w:val="Normal"/>
              <w:rPr/>
            </w:pPr>
            <w:r>
              <w:rPr/>
              <w:t>1</w:t>
            </w:r>
          </w:p>
        </w:tc>
      </w:tr>
      <w:tr>
        <w:trPr/>
        <w:tc>
          <w:tcPr>
            <w:tcW w:w="4320" w:type="dxa"/>
            <w:tcBorders/>
          </w:tcPr>
          <w:p>
            <w:pPr>
              <w:pStyle w:val="Normal"/>
              <w:rPr/>
            </w:pPr>
            <w:r>
              <w:rPr/>
              <w:t>2</w:t>
            </w:r>
          </w:p>
        </w:tc>
        <w:tc>
          <w:tcPr>
            <w:tcW w:w="4320" w:type="dxa"/>
            <w:tcBorders/>
          </w:tcPr>
          <w:p>
            <w:pPr>
              <w:pStyle w:val="Normal"/>
              <w:rPr/>
            </w:pPr>
            <w:r>
              <w:rPr/>
              <w:t>0</w:t>
            </w:r>
          </w:p>
        </w:tc>
      </w:tr>
      <w:tr>
        <w:trPr/>
        <w:tc>
          <w:tcPr>
            <w:tcW w:w="4320" w:type="dxa"/>
            <w:tcBorders/>
          </w:tcPr>
          <w:p>
            <w:pPr>
              <w:pStyle w:val="Normal"/>
              <w:rPr/>
            </w:pPr>
            <w:r>
              <w:rPr/>
              <w:t>3</w:t>
            </w:r>
          </w:p>
        </w:tc>
        <w:tc>
          <w:tcPr>
            <w:tcW w:w="4320" w:type="dxa"/>
            <w:tcBorders/>
          </w:tcPr>
          <w:p>
            <w:pPr>
              <w:pStyle w:val="Normal"/>
              <w:rPr/>
            </w:pPr>
            <w:r>
              <w:rPr/>
              <w:t>-3</w:t>
            </w:r>
          </w:p>
        </w:tc>
      </w:tr>
      <w:tr>
        <w:trPr/>
        <w:tc>
          <w:tcPr>
            <w:tcW w:w="4320" w:type="dxa"/>
            <w:tcBorders/>
          </w:tcPr>
          <w:p>
            <w:pPr>
              <w:pStyle w:val="Normal"/>
              <w:rPr/>
            </w:pPr>
            <w:r>
              <w:rPr/>
              <w:t>4</w:t>
            </w:r>
          </w:p>
        </w:tc>
        <w:tc>
          <w:tcPr>
            <w:tcW w:w="4320" w:type="dxa"/>
            <w:tcBorders/>
          </w:tcPr>
          <w:p>
            <w:pPr>
              <w:pStyle w:val="Normal"/>
              <w:rPr/>
            </w:pPr>
            <w:r>
              <w:rPr/>
              <w:t>-8</w:t>
            </w:r>
          </w:p>
        </w:tc>
      </w:tr>
    </w:tbl>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Tabla 1</w:t>
      </w:r>
    </w:p>
    <w:p>
      <w:pPr>
        <w:pStyle w:val="Normal"/>
        <w:ind w:right="-1"/>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w:t>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r>
    </w:p>
    <w:p>
      <w:pPr>
        <w:pStyle w:val="Normal"/>
        <w:ind w:right="-1"/>
        <w:rPr>
          <w:b/>
          <w:bCs/>
        </w:rPr>
      </w:pPr>
      <w:r>
        <w:rPr/>
      </w:r>
    </w:p>
    <w:p>
      <w:pPr>
        <w:pStyle w:val="Normal"/>
        <w:ind w:right="-1"/>
        <w:rPr>
          <w:b/>
          <w:bCs/>
        </w:rPr>
      </w:pPr>
      <w:r>
        <w:rPr>
          <w:rFonts w:eastAsia="Open Sans" w:cs="Open Sans" w:ascii="Open Sans" w:hAnsi="Open Sans"/>
          <w:b/>
          <w:bCs/>
          <w:sz w:val="20"/>
          <w:szCs w:val="20"/>
          <w:lang w:val="es-CO"/>
        </w:rPr>
        <w:t>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Ejercicio:</w:t>
      </w:r>
      <w:r>
        <w:rPr>
          <w:rFonts w:eastAsia="Open Sans" w:cs="Open Sans" w:ascii="Open Sans" w:hAnsi="Open Sans"/>
          <w:sz w:val="20"/>
          <w:szCs w:val="20"/>
          <w:lang w:val="es-CO"/>
        </w:rPr>
        <w:t xml:space="preserve"> Crear una tabla de valores para la función  g(x) = x^2 - 4x + 4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Actividad 3:</w:t>
      </w:r>
      <w:r>
        <w:rPr>
          <w:rFonts w:eastAsia="Open Sans" w:cs="Open Sans" w:ascii="Open Sans" w:hAnsi="Open Sans"/>
          <w:sz w:val="20"/>
          <w:szCs w:val="20"/>
          <w:lang w:val="es-CO"/>
        </w:rPr>
        <w:t xml:space="preserve">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h(x) = ax^2 + bx + c y encontrar los valores de  x  que satisfacen  h(x)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 x \)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 g(x)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 y \(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Referentes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"Teaching Strategies to Improve Algebra Learning"</w:t>
      </w:r>
      <w:r>
        <w:rPr>
          <w:rFonts w:eastAsia="Open Sans" w:cs="Open Sans" w:ascii="Open Sans" w:hAnsi="Open Sans"/>
          <w:sz w:val="20"/>
          <w:szCs w:val="20"/>
          <w:lang w:val="es-CO"/>
        </w:rPr>
        <w:t xml:space="preserve"> - Este artículo discute estrategias para mejorar el aprendizaje del álgebra en estudiantes de secundaria y preparatoria, destacando la importancia de entender y manipular expresiones algebraicas para resolver ecuaciones. [JSTOR](https://www.jstor.org/stable/10.3102/0013189X14551945)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2. </w:t>
      </w:r>
      <w:r>
        <w:rPr>
          <w:rFonts w:eastAsia="Open Sans" w:cs="Open Sans" w:ascii="Open Sans" w:hAnsi="Open Sans"/>
          <w:b/>
          <w:bCs/>
          <w:sz w:val="20"/>
          <w:szCs w:val="20"/>
          <w:lang w:val="es-CO"/>
        </w:rPr>
        <w:t xml:space="preserve">"A Systematic Review on Algebraic Thinking in Education" </w:t>
      </w:r>
      <w:r>
        <w:rPr>
          <w:rFonts w:eastAsia="Open Sans" w:cs="Open Sans" w:ascii="Open Sans" w:hAnsi="Open Sans"/>
          <w:sz w:val="20"/>
          <w:szCs w:val="20"/>
          <w:lang w:val="es-CO"/>
        </w:rPr>
        <w:t>- Una revisión sistemática sobre el pensamiento algebraico en la educación, explorando cómo la dificultad en la manipulación algebraica afecta la resolución de ecuaciones. [ERIC](https://files.eric.ed.gov/fulltext/ED590182.pdf)</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**"Algebra Teaching and Learning"** - Este artículo examina la enseñanza y el aprendizaje del álgebra, resaltando las dificultades que enfrentan los estudiantes con el lenguaje algebraico y la manipulación de símbolos. [SpringerLink](https://link.springer.com/book/10.1007/978-3-319-32260-5)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**"Students’ Difficulties, Conceptions and Attitudes Towards Algebra"** - Analiza las dificultades de los estudiantes en la manipulación de símbolos algebraicos y la resolución de ecuaciones, destacando la transición problemática del lenguaje aritmético al algebraico. [Curtin University](https://espace.curtin.edu.au/handle/20.500.11937/29247)</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5. **"Solving Equations: The Transition from Arithmetic to Algebra"** - Este artículo investiga las diferencias conceptuales y simbólicas entre el pensamiento aritmético y algebraico, y cómo estas diferencias dificultan la resolución de ecuaciones. [Academia.edu](https://www.academia.edu/28698487/Solving_Equations_The_Transition_from_Arithmetic_to_Algebra)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 Borba, M. C., &amp; Villareal, M. E. (2005). *Humans-with-media and the reorganization of mathematical thinking: Information and communication technologies, modeling, visualization, and experimentation*. Springer.</w:t>
      </w:r>
    </w:p>
    <w:p>
      <w:pPr>
        <w:pStyle w:val="Normal"/>
        <w:ind w:right="-1"/>
        <w:rPr>
          <w:b w:val="false"/>
          <w:bCs w:val="false"/>
        </w:rPr>
      </w:pPr>
      <w:r>
        <w:rPr>
          <w:rFonts w:eastAsia="Open Sans" w:cs="Open Sans" w:ascii="Open Sans" w:hAnsi="Open Sans"/>
          <w:b w:val="false"/>
          <w:bCs w:val="false"/>
          <w:spacing w:val="-1"/>
          <w:sz w:val="18"/>
          <w:szCs w:val="18"/>
          <w:lang w:val="es-CO"/>
        </w:rPr>
        <w:t>- Bruner, J. S. (1960). *The process of education*. Harvard University Press.</w:t>
      </w:r>
    </w:p>
    <w:p>
      <w:pPr>
        <w:pStyle w:val="Normal"/>
        <w:ind w:right="-1"/>
        <w:rPr>
          <w:b w:val="false"/>
          <w:bCs w:val="false"/>
        </w:rPr>
      </w:pPr>
      <w:r>
        <w:rPr>
          <w:rFonts w:eastAsia="Open Sans" w:cs="Open Sans" w:ascii="Open Sans" w:hAnsi="Open Sans"/>
          <w:b w:val="false"/>
          <w:bCs w:val="false"/>
          <w:spacing w:val="-1"/>
          <w:sz w:val="18"/>
          <w:szCs w:val="18"/>
          <w:lang w:val="es-CO"/>
        </w:rPr>
        <w:t>- Freire, P. (1970). *Pedagogy of the oppressed*. Continuum.</w:t>
      </w:r>
    </w:p>
    <w:p>
      <w:pPr>
        <w:pStyle w:val="Normal"/>
        <w:ind w:right="-1"/>
        <w:rPr>
          <w:b w:val="false"/>
          <w:bCs w:val="false"/>
        </w:rPr>
      </w:pPr>
      <w:r>
        <w:rPr>
          <w:rFonts w:eastAsia="Open Sans" w:cs="Open Sans" w:ascii="Open Sans" w:hAnsi="Open Sans"/>
          <w:b w:val="false"/>
          <w:bCs w:val="false"/>
          <w:spacing w:val="-1"/>
          <w:sz w:val="18"/>
          <w:szCs w:val="18"/>
          <w:lang w:val="es-CO"/>
        </w:rPr>
        <w:t>- Guzman, M. (2002). *The role of visualization in the teaching and learning of mathematical analysis*. In A. Bishop et al. (Eds.), *Second international handbook</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**Vygotsky, L. S.** (1978). *Mind in Society: The Development of Higher Psychological Processes*.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Este texto destaca la importancia del aprendizaje social y colaborativo, y cómo el desarrollo cognitivo de los estudiantes se potencia a través de la interacción social y el uso de herramientas culturales, incluyendo las tecnologías.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**Piaget, J.** (1952). *The Origins of Intelligence in Children*. International Universities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Piaget aborda cómo los estudiantes desarrollan el pensamiento lógico y matemático a través de etapas de desarrollo, subrayando la importancia de construir sobre el conocimiento previo y las experiencias prácticas.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**Bruner, J. S.** (1960). *The Process of Education*. Harvard University Press.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Bruner introduce la idea de la espiral del currículo, donde los conceptos se revisitan y se expanden, lo cual es relevante para la enseñanza iterativa y el aprendizaje de conceptos complejos como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Freire, P.</w:t>
      </w:r>
      <w:r>
        <w:rPr>
          <w:rFonts w:eastAsia="Open Sans" w:cs="Open Sans" w:ascii="Open Sans" w:hAnsi="Open Sans"/>
          <w:sz w:val="20"/>
          <w:szCs w:val="20"/>
          <w:lang w:val="es-CO"/>
        </w:rPr>
        <w:t xml:space="preserve"> (1970). </w:t>
      </w:r>
      <w:r>
        <w:rPr>
          <w:rFonts w:eastAsia="Open Sans" w:cs="Open Sans" w:ascii="Open Sans" w:hAnsi="Open Sans"/>
          <w:i/>
          <w:iCs/>
          <w:sz w:val="20"/>
          <w:szCs w:val="20"/>
          <w:lang w:val="es-CO"/>
        </w:rPr>
        <w:t>Pedagogy of the Oppressed.</w:t>
      </w:r>
      <w:r>
        <w:rPr>
          <w:rFonts w:eastAsia="Open Sans" w:cs="Open Sans" w:ascii="Open Sans" w:hAnsi="Open Sans"/>
          <w:sz w:val="20"/>
          <w:szCs w:val="20"/>
          <w:lang w:val="es-CO"/>
        </w:rPr>
        <w:t xml:space="preserve"> Continuum.</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Freire enfatiza la educación como un acto de liberación y la importancia de la pedagogía crítica, promoviendo la participación activa de los estudiantes y el aprendizaje significativo.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**Papert, S.** (1980). *Mindstorms: Children, Computers, and Powerful Ideas*. Basic 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Papert explora cómo la tecnología puede ser utilizada para fomentar el aprendizaje constructivista y cómo los entornos de programación como LOGO pueden transformar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6. Hiebert, J., &amp; Carpenter, T. P. (1992). </w:t>
      </w:r>
      <w:r>
        <w:rPr>
          <w:rFonts w:eastAsia="Open Sans" w:cs="Open Sans" w:ascii="Open Sans" w:hAnsi="Open Sans"/>
          <w:i/>
          <w:iCs/>
          <w:sz w:val="20"/>
          <w:szCs w:val="20"/>
          <w:lang w:val="es-CO"/>
        </w:rPr>
        <w:t>*Learning and Teaching with Understanding*</w:t>
      </w:r>
      <w:r>
        <w:rPr>
          <w:rFonts w:eastAsia="Open Sans" w:cs="Open Sans" w:ascii="Open Sans" w:hAnsi="Open Sans"/>
          <w:sz w:val="20"/>
          <w:szCs w:val="20"/>
          <w:lang w:val="es-CO"/>
        </w:rPr>
        <w:t xml:space="preserve">. In D. A. Grouws (Ed.), </w:t>
      </w:r>
      <w:r>
        <w:rPr>
          <w:rFonts w:eastAsia="Open Sans" w:cs="Open Sans" w:ascii="Open Sans" w:hAnsi="Open Sans"/>
          <w:i/>
          <w:iCs/>
          <w:sz w:val="20"/>
          <w:szCs w:val="20"/>
          <w:lang w:val="es-CO"/>
        </w:rPr>
        <w:t>*Handbook of Research on Mathematics Teaching and Learning*</w:t>
      </w:r>
      <w:r>
        <w:rPr>
          <w:rFonts w:eastAsia="Open Sans" w:cs="Open Sans" w:ascii="Open Sans" w:hAnsi="Open Sans"/>
          <w:sz w:val="20"/>
          <w:szCs w:val="20"/>
          <w:lang w:val="es-CO"/>
        </w:rPr>
        <w:t xml:space="preserve"> (pp. 65-97). Macmillan.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7. Borba, M. C., &amp; Villareal, M. E. (2005). *Humans-with-Media and the Reorganization of Mathematical Thinking: Information and Communication Technologies, Modeling, Visualization, and Experimentation*.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8. </w:t>
      </w:r>
      <w:r>
        <w:rPr>
          <w:rFonts w:eastAsia="Open Sans" w:cs="Open Sans" w:ascii="Open Sans" w:hAnsi="Open Sans"/>
          <w:b/>
          <w:bCs/>
          <w:sz w:val="20"/>
          <w:szCs w:val="20"/>
          <w:lang w:val="es-CO"/>
        </w:rPr>
        <w:t xml:space="preserve">Tall, D. </w:t>
      </w:r>
      <w:r>
        <w:rPr>
          <w:rFonts w:eastAsia="Open Sans" w:cs="Open Sans" w:ascii="Open Sans" w:hAnsi="Open Sans"/>
          <w:sz w:val="20"/>
          <w:szCs w:val="20"/>
          <w:lang w:val="es-CO"/>
        </w:rPr>
        <w:t xml:space="preserve">(2004). </w:t>
      </w:r>
      <w:r>
        <w:rPr>
          <w:rFonts w:eastAsia="Open Sans" w:cs="Open Sans" w:ascii="Open Sans" w:hAnsi="Open Sans"/>
          <w:i/>
          <w:iCs/>
          <w:sz w:val="20"/>
          <w:szCs w:val="20"/>
          <w:lang w:val="es-CO"/>
        </w:rPr>
        <w:t>Thinking Through Three Worlds of Mathematics</w:t>
      </w:r>
      <w:r>
        <w:rPr>
          <w:rFonts w:eastAsia="Open Sans" w:cs="Open Sans" w:ascii="Open Sans" w:hAnsi="Open Sans"/>
          <w:sz w:val="20"/>
          <w:szCs w:val="20"/>
          <w:lang w:val="es-CO"/>
        </w:rPr>
        <w:t xml:space="preserve">. In M. J. Hoines &amp; A. B. Fuglestad (Eds.), </w:t>
      </w:r>
      <w:r>
        <w:rPr>
          <w:rFonts w:eastAsia="Open Sans" w:cs="Open Sans" w:ascii="Open Sans" w:hAnsi="Open Sans"/>
          <w:i/>
          <w:iCs/>
          <w:sz w:val="20"/>
          <w:szCs w:val="20"/>
          <w:lang w:val="es-CO"/>
        </w:rPr>
        <w:t>Proceedings of the 28th Conference of the International Group for the Psychology of Mathematics Education</w:t>
      </w:r>
      <w:r>
        <w:rPr>
          <w:rFonts w:eastAsia="Open Sans" w:cs="Open Sans" w:ascii="Open Sans" w:hAnsi="Open Sans"/>
          <w:sz w:val="20"/>
          <w:szCs w:val="20"/>
          <w:lang w:val="es-CO"/>
        </w:rPr>
        <w:t xml:space="preserve"> (pp. 281-288).</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9. Hoffman, B.** (2014). *Teaching and Learning Mathematics through Variation: Confucian Heritage Meets Western Theories*.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Hoffman discute la teoría de la variación y cómo puede aplicarse para mejorar la comprensión de los estudiantes sobre conceptos matemáticos mediante la exposición a diferentes representaciones y contextos.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10.</w:t>
      </w:r>
      <w:r>
        <w:rPr>
          <w:rFonts w:eastAsia="Open Sans" w:cs="Open Sans" w:ascii="Open Sans" w:hAnsi="Open Sans"/>
          <w:b/>
          <w:bCs/>
          <w:sz w:val="20"/>
          <w:szCs w:val="20"/>
          <w:lang w:val="es-CO"/>
        </w:rPr>
        <w:t xml:space="preserve"> Guzman, M.</w:t>
      </w:r>
      <w:r>
        <w:rPr>
          <w:rFonts w:eastAsia="Open Sans" w:cs="Open Sans" w:ascii="Open Sans" w:hAnsi="Open Sans"/>
          <w:sz w:val="20"/>
          <w:szCs w:val="20"/>
          <w:lang w:val="es-CO"/>
        </w:rPr>
        <w:t xml:space="preserve"> (2002). *The Role of Visualization in the Teaching and Learning of Mathematical Analysis*. In A. Bishop et al. (Eds.), *Second International Handbook of Mathematics Education* (pp. 695-718). Springer.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Guzman resalta la importancia de la visualización en la enseñanza de las matemáticas, apoyando la idea de utilizar representaciones tabulares y gráficas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TableContents"/>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Gabriel, F., Van Hoof, J., Gómez, D. M., &amp; Van Dooren, W. (2023). Obstacles in the Development of the Understanding of Fractions. In </w:t>
      </w:r>
      <w:r>
        <w:rPr>
          <w:rFonts w:eastAsia="Open Sans" w:cs="Open Sans" w:ascii="Open Sans" w:hAnsi="Open Sans"/>
          <w:i/>
          <w:sz w:val="20"/>
          <w:szCs w:val="20"/>
          <w:lang w:val="es-CO"/>
        </w:rPr>
        <w:t>Mathematical Cognition and Understanding: Perspectives on Mathematical Minds in the Elementary and Middle School Years</w:t>
      </w:r>
      <w:r>
        <w:rPr>
          <w:rFonts w:eastAsia="Open Sans" w:cs="Open Sans" w:ascii="Open Sans" w:hAnsi="Open Sans"/>
          <w:sz w:val="20"/>
          <w:szCs w:val="20"/>
          <w:lang w:val="es-CO"/>
        </w:rPr>
        <w:t xml:space="preserve"> (pp. 209-225). Cham: Springer International Publishing.</w:t>
      </w:r>
    </w:p>
    <w:p>
      <w:pPr>
        <w:pStyle w:val="Heading2"/>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112" w:right="-1"/>
        <w:rPr>
          <w:rFonts w:ascii="Open Sans" w:hAnsi="Open Sans" w:eastAsia="Open Sans" w:cs="Open Sans"/>
          <w:sz w:val="20"/>
          <w:szCs w:val="20"/>
          <w:lang w:val="es-CO"/>
        </w:rPr>
      </w:pPr>
      <w:r>
        <w:rPr>
          <w:rFonts w:eastAsia="Open Sans" w:cs="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Droid Sans Mono">
    <w:altName w:val="monospace"/>
    <w:charset w:val="01"/>
    <w:family w:val="auto"/>
    <w:pitch w:val="default"/>
  </w:font>
  <w:font w:name="Open Sans">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6"/>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1023</TotalTime>
  <Application>LibreOffice/24.2.5.2$Linux_X86_64 LibreOffice_project/d6e8b0f3fc6e8af2b00cf4969fd0d2fa45b9a62e</Application>
  <AppVersion>15.0000</AppVersion>
  <Pages>17</Pages>
  <Words>6978</Words>
  <Characters>42129</Characters>
  <CharactersWithSpaces>49292</CharactersWithSpaces>
  <Paragraphs>470</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2024-08-18T11:49:34Z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