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sz w:val="18"/>
        </w:rPr>
        <w:t xml:space="preserve">Desde este punto de vista, las ecuaciones, son comparaciones de funciones; y resolver ecuaciones significa encontrar puntos del dominio donde estas funciones se hacen de igual valor.  Esta perspectiva posibilita que el estudiante resuelva ecuaciones a partir de </w:t>
      </w:r>
      <w:r>
        <w:rPr>
          <w:sz w:val="18"/>
        </w:rPr>
        <w:t xml:space="preserve">las </w:t>
      </w:r>
      <w:r>
        <w:rPr>
          <w:sz w:val="18"/>
        </w:rPr>
        <w:t xml:space="preserve">representaciones tabulares y gráficas </w:t>
      </w:r>
      <w:r>
        <w:rPr>
          <w:sz w:val="18"/>
        </w:rPr>
        <w:t xml:space="preserve">de las funciones asociadas </w:t>
      </w:r>
      <w:r>
        <w:rPr>
          <w:sz w:val="18"/>
        </w:rPr>
        <w:t xml:space="preserve">que le permiten resolver por inspección, lectura </w:t>
      </w:r>
      <w:r>
        <w:rPr>
          <w:sz w:val="18"/>
        </w:rPr>
        <w:t>o interpretación</w:t>
      </w:r>
      <w:r>
        <w:rPr>
          <w:sz w:val="18"/>
        </w:rPr>
        <w:t xml:space="preserve">, lo que resuelve el problema de acceso y manipulación del lenguaje algebraico que aqueja a la gran mayoría de los estudiantes de secundaria y de educación superior. </w:t>
      </w:r>
      <w:r>
        <w:rPr>
          <w:sz w:val="18"/>
        </w:rPr>
        <w:t xml:space="preserve">Yo afirmo, desde mi experiencia docente de 16 años, que  en cuanto a la educación en modelación matemática, el currículo ha enfatizado en enseñar a resolver ecuaciones y en un porcentaje muy bajo en enseñar a plantear modelos. Es decir, nos dedicamos demasiado a enseñar a resolver modelos y no a enseñar a plantarlos. Esta costumbre no es aplicable en la actualidad, pues la resolución de ecuaciones ya es un problema computacional, y es más importante enseñar a resolver problemas reales que sean modelables matemáticamente. Por eso, en esta reflexon, quiero plantear un modeo de enseñar a modelar utilizando el entorno de lectura experimental llamado Jupyter Notebook y la librería Sympy de Python que resuelve ecuaciones a través de su función incorporada. Y también quiero mostrar como con las representaciones tabulares y gráficas elaboradas con pandas, matplotlib y plotly, el estudiante puede resolver ecuaciones por inspección, lectura o interpretación de estas representaciones semióticas.  </w:t>
      </w:r>
      <w:r>
        <w:rPr>
          <w:sz w:val="18"/>
        </w:rPr>
        <w:t xml:space="preserve">También debo justificar que el uso de pandas y matplotlib para obtener representaciones tabulares y gráficas, disminuye la distancia entre lo que se enseña en la universidad y lo que requiere en la empresa privada, ya que estas librerías no son escolares, lo que hace que se adapten muy bien a los contextos reales, lo cuales no son los contextos escolares que de las funciones se presentan. </w:t>
      </w:r>
      <w:r>
        <w:rPr>
          <w:rFonts w:eastAsia="Open Sans" w:cs="Open Sans" w:ascii="Open Sans" w:hAnsi="Open Sans"/>
          <w:sz w:val="20"/>
          <w:szCs w:val="20"/>
          <w:lang w:val="es-CO"/>
        </w:rPr>
        <w:t xml:space="preserve">Geogebra es escolar, por tanto, dificulta la graficación e interpretacion de los gráficos por que no se autoescala.  Y las variables de un contexto real son de valores muy grandes o muy pequeños y de rangos muy diferentes. Esta perspectiva de enseñanza permite generalizar el concepto de ecuación a pregunta por la relación entre dos funciones o variables, y así tener ecuaciones que no necesariamente tienen expresiones algebraicas, pero que si tienen representaciones tabulares de las funciones asociadas a sus lados. Esto es posible en situaciones reales, como por ejemplo para el caso en que en que nos preguntamos sobre cuando las temperaturas de dos municipios son iguales.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Indudablemente, las expresiones algebraicas definen funciones, es decir, para cada valor de x, la expresión algebraica asume un único valor.</w:t>
      </w:r>
      <w:r>
        <w:rPr>
          <w:rFonts w:eastAsia="Open Sans" w:cs="Open Sans" w:ascii="Open Sans" w:hAnsi="Open Sans"/>
          <w:sz w:val="18"/>
          <w:szCs w:val="20"/>
          <w:lang w:val="es-CO"/>
        </w:rPr>
        <w:t xml:space="preserve"> Por ejemplo, en el caso de la expresión algebraica 2x, esta expresión derine una relación entre puntos posibles para x y los resultados al sustituir estos puntos en la expresión. Así, podríamos escribir esta relación como $y = f(x) = 2x$.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 xml:space="preserve">Esta es una propuesta de presentación de los conceptos de función y ecuación para educación superior, en el programa de Licenciatura en Matemáticas. De ninguna manera pretende ser una secuencia adecuada de enseñanza de estos conceptos en educación secundaria.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cs="Open Sans" w:ascii="Open Sans" w:hAnsi="Open Sans"/>
          <w:sz w:val="18"/>
          <w:szCs w:val="20"/>
          <w:lang w:val="es-CO"/>
        </w:rPr>
        <w:t>Toda esta historia empieza en un modelo de enseñanza que busca el Aprendizaje Basado en Problemas o ABP</w:t>
      </w:r>
      <w:r>
        <w:rPr>
          <w:rFonts w:eastAsia="Open Sans" w:cs="Open Sans" w:ascii="Open Sans" w:hAnsi="Open Sans"/>
          <w:sz w:val="18"/>
          <w:szCs w:val="20"/>
          <w:lang w:val="es-CO"/>
        </w:rPr>
        <w:t xml:space="preserve"> </w:t>
      </w:r>
      <w:r>
        <w:rPr>
          <w:rFonts w:cs="Open Sans" w:ascii="Open Sans" w:hAnsi="Open Sans"/>
          <w:sz w:val="18"/>
          <w:szCs w:val="20"/>
          <w:lang w:val="es-CO"/>
        </w:rPr>
        <w:t xml:space="preserve">que decidí implementar en mi labor de enseñanza en los estudiantes del programa de Licenciatura en Matemáticas de la Universidad de Antioquia en el Campus Caucasia.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Este modelo exige enseñar enfocado a la solución de problemas reales y cercanos al contexto de mis estudiantes.  Lo que implica enseñar a las funciones como modelos matemáticos descriptores, explicativos o predictivos de la realidad.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Uno de los modelos escolares más presente en la naturaleza es el de </w:t>
      </w:r>
      <w:r>
        <w:rPr>
          <w:rFonts w:eastAsia="Open Sans" w:cs="Open Sans" w:ascii="Open Sans" w:hAnsi="Open Sans"/>
          <w:i/>
          <w:iCs/>
          <w:sz w:val="18"/>
          <w:szCs w:val="20"/>
          <w:lang w:val="es-CO"/>
        </w:rPr>
        <w:t>proporcionalidad directa</w:t>
      </w:r>
      <w:r>
        <w:rPr>
          <w:rFonts w:eastAsia="Open Sans" w:cs="Open Sans" w:ascii="Open Sans" w:hAnsi="Open Sans"/>
          <w:sz w:val="18"/>
          <w:szCs w:val="20"/>
          <w:lang w:val="es-CO"/>
        </w:rPr>
        <w:t xml:space="preserve"> que se puede modelar con la expresión funcional y = f(x) = kx, donde k es la constante de proporcionalidad. Un ejemplo sencillo de modelación de una situación real es en la que se pretende mostrar la relación entre el número de huevos n y el precio p que debo pagar por todos ellos. Al estudiante le es fácil ver que si un huevo vale 600 pesos colombianos, entonces p = 600*n es decir, que el precio es proporcional al número de huevos que compre, donde el modelo es una igualdad que expresa que el precio a pagar es un múltiplo del número de huevos. Las representaciones tabulares y gráficas de esta función, le permiten al estudiante caracterizar esta relación. </w:t>
      </w:r>
    </w:p>
    <w:tbl>
      <w:tblPr>
        <w:tblW w:w="3000" w:type="dxa"/>
        <w:jc w:val="left"/>
        <w:tblInd w:w="3421" w:type="dxa"/>
        <w:tblLayout w:type="fixed"/>
        <w:tblCellMar>
          <w:top w:w="55" w:type="dxa"/>
          <w:left w:w="55" w:type="dxa"/>
          <w:bottom w:w="55" w:type="dxa"/>
          <w:right w:w="55" w:type="dxa"/>
        </w:tblCellMar>
      </w:tblPr>
      <w:tblGrid>
        <w:gridCol w:w="1535"/>
        <w:gridCol w:w="1464"/>
      </w:tblGrid>
      <w:tr>
        <w:trPr/>
        <w:tc>
          <w:tcPr>
            <w:tcW w:w="1535" w:type="dxa"/>
            <w:tcBorders>
              <w:top w:val="single" w:sz="4" w:space="0" w:color="000000"/>
              <w:left w:val="single" w:sz="4" w:space="0" w:color="000000"/>
              <w:bottom w:val="single" w:sz="4" w:space="0" w:color="000000"/>
            </w:tcBorders>
          </w:tcPr>
          <w:p>
            <w:pPr>
              <w:pStyle w:val="TableContents"/>
              <w:jc w:val="center"/>
              <w:rPr/>
            </w:pPr>
            <w:r>
              <w:rPr/>
              <w:t>n</w:t>
            </w:r>
          </w:p>
        </w:tc>
        <w:tc>
          <w:tcPr>
            <w:tcW w:w="1464"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p</w:t>
            </w:r>
          </w:p>
        </w:tc>
      </w:tr>
      <w:tr>
        <w:trPr/>
        <w:tc>
          <w:tcPr>
            <w:tcW w:w="1535" w:type="dxa"/>
            <w:tcBorders>
              <w:left w:val="single" w:sz="4" w:space="0" w:color="000000"/>
              <w:bottom w:val="single" w:sz="4" w:space="0" w:color="000000"/>
            </w:tcBorders>
          </w:tcPr>
          <w:p>
            <w:pPr>
              <w:pStyle w:val="TableContents"/>
              <w:jc w:val="center"/>
              <w:rPr/>
            </w:pPr>
            <w:r>
              <w:rPr/>
              <w:t>1</w:t>
            </w:r>
          </w:p>
        </w:tc>
        <w:tc>
          <w:tcPr>
            <w:tcW w:w="1464" w:type="dxa"/>
            <w:tcBorders>
              <w:left w:val="single" w:sz="4" w:space="0" w:color="000000"/>
              <w:bottom w:val="single" w:sz="4" w:space="0" w:color="000000"/>
              <w:right w:val="single" w:sz="4" w:space="0" w:color="000000"/>
            </w:tcBorders>
          </w:tcPr>
          <w:p>
            <w:pPr>
              <w:pStyle w:val="TableContents"/>
              <w:jc w:val="center"/>
              <w:rPr/>
            </w:pPr>
            <w:r>
              <w:rPr/>
              <w:t>600</w:t>
            </w:r>
          </w:p>
        </w:tc>
      </w:tr>
      <w:tr>
        <w:trPr/>
        <w:tc>
          <w:tcPr>
            <w:tcW w:w="1535" w:type="dxa"/>
            <w:tcBorders>
              <w:left w:val="single" w:sz="4" w:space="0" w:color="000000"/>
              <w:bottom w:val="single" w:sz="4" w:space="0" w:color="000000"/>
            </w:tcBorders>
          </w:tcPr>
          <w:p>
            <w:pPr>
              <w:pStyle w:val="TableContents"/>
              <w:jc w:val="center"/>
              <w:rPr/>
            </w:pPr>
            <w:r>
              <w:rPr/>
              <w:t>2</w:t>
            </w:r>
          </w:p>
        </w:tc>
        <w:tc>
          <w:tcPr>
            <w:tcW w:w="1464" w:type="dxa"/>
            <w:tcBorders>
              <w:left w:val="single" w:sz="4" w:space="0" w:color="000000"/>
              <w:bottom w:val="single" w:sz="4" w:space="0" w:color="000000"/>
              <w:right w:val="single" w:sz="4" w:space="0" w:color="000000"/>
            </w:tcBorders>
          </w:tcPr>
          <w:p>
            <w:pPr>
              <w:pStyle w:val="TableContents"/>
              <w:jc w:val="center"/>
              <w:rPr/>
            </w:pPr>
            <w:r>
              <w:rPr/>
              <w:t>1200</w:t>
            </w:r>
          </w:p>
        </w:tc>
      </w:tr>
      <w:tr>
        <w:trPr/>
        <w:tc>
          <w:tcPr>
            <w:tcW w:w="1535" w:type="dxa"/>
            <w:tcBorders>
              <w:left w:val="single" w:sz="4" w:space="0" w:color="000000"/>
              <w:bottom w:val="single" w:sz="4" w:space="0" w:color="000000"/>
            </w:tcBorders>
          </w:tcPr>
          <w:p>
            <w:pPr>
              <w:pStyle w:val="TableContents"/>
              <w:jc w:val="center"/>
              <w:rPr/>
            </w:pPr>
            <w:r>
              <w:rPr/>
              <w:t>3</w:t>
            </w:r>
          </w:p>
        </w:tc>
        <w:tc>
          <w:tcPr>
            <w:tcW w:w="1464" w:type="dxa"/>
            <w:tcBorders>
              <w:left w:val="single" w:sz="4" w:space="0" w:color="000000"/>
              <w:bottom w:val="single" w:sz="4" w:space="0" w:color="000000"/>
              <w:right w:val="single" w:sz="4" w:space="0" w:color="000000"/>
            </w:tcBorders>
          </w:tcPr>
          <w:p>
            <w:pPr>
              <w:pStyle w:val="TableContents"/>
              <w:jc w:val="center"/>
              <w:rPr/>
            </w:pPr>
            <w:r>
              <w:rPr/>
              <w:t>1800</w:t>
            </w:r>
          </w:p>
        </w:tc>
      </w:tr>
      <w:tr>
        <w:trPr/>
        <w:tc>
          <w:tcPr>
            <w:tcW w:w="1535" w:type="dxa"/>
            <w:tcBorders>
              <w:left w:val="single" w:sz="4" w:space="0" w:color="000000"/>
              <w:bottom w:val="single" w:sz="4" w:space="0" w:color="000000"/>
            </w:tcBorders>
          </w:tcPr>
          <w:p>
            <w:pPr>
              <w:pStyle w:val="TableContents"/>
              <w:jc w:val="center"/>
              <w:rPr/>
            </w:pPr>
            <w:r>
              <w:rPr/>
              <w:t>4</w:t>
            </w:r>
          </w:p>
        </w:tc>
        <w:tc>
          <w:tcPr>
            <w:tcW w:w="1464" w:type="dxa"/>
            <w:tcBorders>
              <w:left w:val="single" w:sz="4" w:space="0" w:color="000000"/>
              <w:bottom w:val="single" w:sz="4" w:space="0" w:color="000000"/>
              <w:right w:val="single" w:sz="4" w:space="0" w:color="000000"/>
            </w:tcBorders>
          </w:tcPr>
          <w:p>
            <w:pPr>
              <w:pStyle w:val="TableContents"/>
              <w:jc w:val="center"/>
              <w:rPr/>
            </w:pPr>
            <w:r>
              <w:rPr/>
              <w:t>2400</w:t>
            </w:r>
          </w:p>
        </w:tc>
      </w:tr>
      <w:tr>
        <w:trPr/>
        <w:tc>
          <w:tcPr>
            <w:tcW w:w="1535" w:type="dxa"/>
            <w:tcBorders>
              <w:left w:val="single" w:sz="4" w:space="0" w:color="000000"/>
              <w:bottom w:val="single" w:sz="4" w:space="0" w:color="000000"/>
            </w:tcBorders>
          </w:tcPr>
          <w:p>
            <w:pPr>
              <w:pStyle w:val="TableContents"/>
              <w:jc w:val="center"/>
              <w:rPr/>
            </w:pPr>
            <w:r>
              <w:rPr/>
              <w:t>5</w:t>
            </w:r>
          </w:p>
        </w:tc>
        <w:tc>
          <w:tcPr>
            <w:tcW w:w="1464" w:type="dxa"/>
            <w:tcBorders>
              <w:left w:val="single" w:sz="4" w:space="0" w:color="000000"/>
              <w:bottom w:val="single" w:sz="4" w:space="0" w:color="000000"/>
              <w:right w:val="single" w:sz="4" w:space="0" w:color="000000"/>
            </w:tcBorders>
          </w:tcPr>
          <w:p>
            <w:pPr>
              <w:pStyle w:val="TableContents"/>
              <w:jc w:val="center"/>
              <w:rPr/>
            </w:pPr>
            <w:r>
              <w:rPr/>
              <w:t>3000</w:t>
            </w:r>
          </w:p>
        </w:tc>
      </w:tr>
      <w:tr>
        <w:trPr/>
        <w:tc>
          <w:tcPr>
            <w:tcW w:w="1535" w:type="dxa"/>
            <w:tcBorders>
              <w:left w:val="single" w:sz="4" w:space="0" w:color="000000"/>
              <w:bottom w:val="single" w:sz="4" w:space="0" w:color="000000"/>
            </w:tcBorders>
          </w:tcPr>
          <w:p>
            <w:pPr>
              <w:pStyle w:val="TableContents"/>
              <w:jc w:val="center"/>
              <w:rPr/>
            </w:pPr>
            <w:r>
              <w:rPr/>
            </w:r>
          </w:p>
        </w:tc>
        <w:tc>
          <w:tcPr>
            <w:tcW w:w="1464" w:type="dxa"/>
            <w:tcBorders>
              <w:left w:val="single" w:sz="4" w:space="0" w:color="000000"/>
              <w:bottom w:val="single" w:sz="4" w:space="0" w:color="000000"/>
              <w:right w:val="single" w:sz="4" w:space="0" w:color="000000"/>
            </w:tcBorders>
          </w:tcPr>
          <w:p>
            <w:pPr>
              <w:pStyle w:val="TableContents"/>
              <w:jc w:val="center"/>
              <w:rPr/>
            </w:pPr>
            <w:r>
              <w:rPr/>
            </w:r>
          </w:p>
        </w:tc>
      </w:tr>
      <w:tr>
        <w:trPr/>
        <w:tc>
          <w:tcPr>
            <w:tcW w:w="1535" w:type="dxa"/>
            <w:tcBorders>
              <w:left w:val="single" w:sz="4" w:space="0" w:color="000000"/>
              <w:bottom w:val="single" w:sz="4" w:space="0" w:color="000000"/>
            </w:tcBorders>
          </w:tcPr>
          <w:p>
            <w:pPr>
              <w:pStyle w:val="TableContents"/>
              <w:jc w:val="center"/>
              <w:rPr/>
            </w:pPr>
            <w:r>
              <w:rPr/>
            </w:r>
          </w:p>
        </w:tc>
        <w:tc>
          <w:tcPr>
            <w:tcW w:w="1464" w:type="dxa"/>
            <w:tcBorders>
              <w:left w:val="single" w:sz="4" w:space="0" w:color="000000"/>
              <w:bottom w:val="single" w:sz="4" w:space="0" w:color="000000"/>
              <w:right w:val="single" w:sz="4" w:space="0" w:color="000000"/>
            </w:tcBorders>
          </w:tcPr>
          <w:p>
            <w:pPr>
              <w:pStyle w:val="TableContents"/>
              <w:jc w:val="center"/>
              <w:rPr/>
            </w:pPr>
            <w:r>
              <w:rPr/>
            </w:r>
          </w:p>
        </w:tc>
      </w:tr>
    </w:tbl>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Y el lenguaje de programación python, implementado a través de cuadernos Jupyter, permite al estudiante realizar estas caracterizaciones de manera comprensiva y sencilla al facilitarle la elaboración de la tabla y del gráfico y permitirle consignar en un entorno integrado las interpretaciones de estas representaciones. Este lenguaje y el capacitarse en la interpretación y lectura de tablas y gráficos lo capacita para la investigación, la empresa privada y la ciencia de datos.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Si después de elaborar las representaciones tabular y gráfica a los estudiantes, se les pide que entregue al menos 5 interpretaciones para cada representación, veremos los profesores que es fácil llegar a conclusiones como 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las funciones de proporcionalidad directa son de velocidad de cambio constante y que las funciones de velocidad de cambio constante son lineales.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Ya con una ejemplo de variación de temperatura en Caucasia de las </w:t>
      </w:r>
    </w:p>
    <w:tbl>
      <w:tblPr>
        <w:tblW w:w="5000" w:type="pct"/>
        <w:jc w:val="left"/>
        <w:tblInd w:w="-5" w:type="dxa"/>
        <w:tblLayout w:type="fixed"/>
        <w:tblCellMar>
          <w:top w:w="55" w:type="dxa"/>
          <w:left w:w="55" w:type="dxa"/>
          <w:bottom w:w="55" w:type="dxa"/>
          <w:right w:w="55" w:type="dxa"/>
        </w:tblCellMar>
      </w:tblPr>
      <w:tblGrid>
        <w:gridCol w:w="4960"/>
        <w:gridCol w:w="4960"/>
      </w:tblGrid>
      <w:tr>
        <w:trPr/>
        <w:tc>
          <w:tcPr>
            <w:tcW w:w="4960" w:type="dxa"/>
            <w:tcBorders>
              <w:top w:val="single" w:sz="4" w:space="0" w:color="000000"/>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hora</w:t>
            </w:r>
          </w:p>
        </w:tc>
        <w:tc>
          <w:tcPr>
            <w:tcW w:w="4960" w:type="dxa"/>
            <w:tcBorders>
              <w:top w:val="single" w:sz="4" w:space="0" w:color="000000"/>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Temperatura en Caucasia</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8:00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24</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9:00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26</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10:00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28</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11:00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30</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12:00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32</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13:00 AM</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34</w:t>
            </w:r>
          </w:p>
        </w:tc>
      </w:tr>
      <w:tr>
        <w:trPr/>
        <w:tc>
          <w:tcPr>
            <w:tcW w:w="4960" w:type="dxa"/>
            <w:tcBorders>
              <w:left w:val="single" w:sz="4" w:space="0" w:color="000000"/>
              <w:bottom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 xml:space="preserve">14:00 AM </w:t>
            </w:r>
          </w:p>
        </w:tc>
        <w:tc>
          <w:tcPr>
            <w:tcW w:w="4960" w:type="dxa"/>
            <w:tcBorders>
              <w:left w:val="single" w:sz="4" w:space="0" w:color="000000"/>
              <w:bottom w:val="single" w:sz="4" w:space="0" w:color="000000"/>
              <w:right w:val="single" w:sz="4" w:space="0" w:color="000000"/>
            </w:tcBorders>
          </w:tcPr>
          <w:p>
            <w:pPr>
              <w:pStyle w:val="TableContents"/>
              <w:rPr>
                <w:rFonts w:ascii="Open Sans" w:hAnsi="Open Sans" w:eastAsia="Open Sans" w:cs="Open Sans"/>
                <w:sz w:val="20"/>
                <w:szCs w:val="20"/>
              </w:rPr>
            </w:pPr>
            <w:r>
              <w:rPr>
                <w:rFonts w:eastAsia="Open Sans" w:cs="Open Sans" w:ascii="Open Sans" w:hAnsi="Open Sans"/>
                <w:sz w:val="20"/>
                <w:szCs w:val="20"/>
              </w:rPr>
              <w:t>36</w:t>
            </w:r>
          </w:p>
        </w:tc>
      </w:tr>
    </w:tbl>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El estudiante puede llegar a que el modelo funcional es T = 24 + 2*h, es decir, un modelo de proporcionalidad directa aumentado en una constante.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Para llegar a la forma general de y = b + mx que es el modelo general de funciones lineales que conocemos y al presentar las dos representaciones tabular y gráfica, el estudiante puede llegar a inferencias, de que estas también corresponden a funciones de velocidad de variación contante de gráfico lineal. Es decir, hemos logrado que el estudiante vincule una parte de su realidad al concepto de función lineal.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Para terminar de consolidar la capacidad de los estudiantes de relacionar las representaciones algebraica $y = f(x) = b + mx$ con la velocidad de variación constante dada por la tabla y la linealidad dada por el gráfico podemos pedir a la inteligencia artificial ChaptGPT 4o que nos construya 20 ejercicios de fijación similares al siguiente: “dame 10 ejercicios similares al siguiente: encuentre la expresión algebraica que modele la tabla y luego grafique la tabla y saque por lo menos 5 conclusiones, interpretaciones o inferencias”. Esto con el objetivo de que el estudiante reconozca como equivalentes a las representaciones $y = f(x) = b + mx$, a su representación tabular donde evidencia la velocidad de cambio constante y la característica de que el gráfico es lineal.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Luego, presentamos el significado de la ecuación b + mx = 0 como el problema de determinar qué valores de x tiene imagen cero bajo esta función lineal lo que el estudiante puede resolver por completación de la tabla o buscando el punto de intersección de la función lineal y = b + mx con la función cero que es el eje horizontal o eje x. Así, hemos enseñado a los estudiantes a resolver ecuaciones lineales desde una representación tabular y desde una representación gráfica. Ya luego, podemos enseñar a resolver estas ecuaciones con los métodos basados en operaciones algebraicas, los cuales requieren mayor complejidad. Lo que quiere decir, que es posible enseñar a los estudiantes a resolver ecuaciones lineales desde una representación tabular de la función lineal asociada o de la representación gráfica de la misma.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t xml:space="preserve">Lo interesante de esta propuesta, es su aplicabilidad a la solución de los demás tipos de ecuaciones como cuadráticas, con radicales y con fracciones presentadas en el precálculo de Stewart. Por lo tanto, mi hipótesis como investigador en didáctica de la matemática es que </w:t>
      </w:r>
      <w:r>
        <w:rPr>
          <w:rFonts w:eastAsia="Open Sans" w:cs="Open Sans" w:ascii="Open Sans" w:hAnsi="Open Sans"/>
          <w:i/>
          <w:iCs/>
          <w:sz w:val="20"/>
          <w:szCs w:val="20"/>
          <w:lang w:val="es-CO"/>
        </w:rPr>
        <w:t xml:space="preserve">es viable y apropiado para el aprendizaje significativo de los estudiantes, el presentar las ecuaciones desde el concepto de función para poder solucionarlas haciendo uso de las representaciones tabulares y gráficas de estas, lo que permite que un lenguaje como python, permita que los estudiantes utilicen tecnología en la difícil tarea de aprender a resolver ecuaciones de estos tipos. </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rPr>
          <w:b/>
          <w:bCs/>
          <w:i w:val="false"/>
          <w:i w:val="false"/>
          <w:iCs w:val="false"/>
        </w:rPr>
      </w:pPr>
      <w:r>
        <w:rPr>
          <w:b/>
          <w:bCs/>
          <w:i w:val="false"/>
          <w:iCs w:val="false"/>
        </w:rPr>
        <w:t>Desventajas de Geogebra para la enseñanza de las funciones y las ecuaciones desde esta perspectiva</w:t>
      </w:r>
    </w:p>
    <w:p>
      <w:pPr>
        <w:pStyle w:val="Normal"/>
        <w:rPr>
          <w:b/>
          <w:bCs/>
          <w:i w:val="false"/>
          <w:i w:val="false"/>
          <w:iCs w:val="false"/>
        </w:rPr>
      </w:pPr>
      <w:r>
        <w:rPr>
          <w:b/>
          <w:bCs/>
          <w:i w:val="false"/>
          <w:iCs w:val="false"/>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Geogebra es escolar, por tanto, dificulta la graficación e interpretacion de los gráficos por que no se autoescala.  Y las variables de un contexto real son de valores muy grandes o muy pequeños y de rangos muy diferentes.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estructura sugerida para un artículo reflexivo de 20 páginas sobre la enseñanza de ecuaciones como comparaciones de funciones, utilizando Python y diversas bibliotecas: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Estructura Sugerida para un Artículo Reflexivo de 20 Páginas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Título: </w:t>
      </w:r>
      <w:r>
        <w:rPr>
          <w:rFonts w:eastAsia="Open Sans" w:cs="Open Sans" w:ascii="Open Sans" w:hAnsi="Open Sans"/>
          <w:b w:val="false"/>
          <w:bCs w:val="false"/>
          <w:spacing w:val="-1"/>
          <w:w w:val="95"/>
          <w:sz w:val="28"/>
          <w:szCs w:val="20"/>
          <w:lang w:val="es-CO"/>
        </w:rPr>
        <w:t xml:space="preserve">Enseñar a resolver ecuaciones desde el concepto de función haciendo uso del lenguaje python implementado a través de cuadernos Jupyter y las representaciones tabular y gráfica, dejando de privilegiar al razonamiento algebraico.   </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Título opcional: </w:t>
      </w:r>
      <w:r>
        <w:rPr>
          <w:rFonts w:eastAsia="Open Sans" w:cs="Open Sans" w:ascii="Open Sans" w:hAnsi="Open Sans"/>
          <w:b w:val="false"/>
          <w:bCs w:val="false"/>
          <w:spacing w:val="-1"/>
          <w:sz w:val="18"/>
          <w:szCs w:val="18"/>
          <w:lang w:val="es-CO"/>
        </w:rPr>
        <w:t xml:space="preserve"> **Resolución de Ecuaciones a Través de la Comparación de Funciones: Un Enfoque Integrado Usando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1. Introducción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La dificultad de los estudiantes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No se conoce o no se utiliza el criterio de la balanza, entendido como el criterio que establece la equivalencia de ecuaciones cuando se suma la misma cantidad a ambos lados o se multiplica por la misma cantidad no nula a ambos lados.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Dificultades con la identificación y operación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Dificultades con identificar y operar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Variabilidad de las respuestas en un grupo, cuando el procedimiento es de 1 o 2 páginas.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En el Seminario en Didáctica de la Aritmética del semestre 2024-1, impartido a los estudiantes de licenciatura en matemáticas de la Universidad de Antioquia, Campus Caucasia, se han observado una serie de problemas recurrentes en el proceso de enseñanza y aprendizaje de la resolución de ecuaciones.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**Problemas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5. **Variabilidad de Respuestas y Falta de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Introducir el concepto de función como base para la resolución de ecuaciones permite a los estudiantes visualizar de manera tabular y gráfica y así entender mejor las ecuaciones igualdad de funciones o pregunta por los puntos donde, las funciones que forman los lados de la ecuación, son iguales. El uso de representaciones tabulares y gráficas facilita la comprensión de conceptos abstractos y su aplicación práctica.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Esta propuesta busca transformar la manera en que se enseña la resolución de ecuaciones, superando las dificultades tradicionales del razonamiento algebraico mediante un enfoque centrado en la función y apoyado en herramientas tecnológicas modernas.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t xml:space="preserve">Sea hace necesario incluir un aparte de este artículo donde se presente una comparación de las ventajas y desventajas de resolver ecuaciones a través de razonamientos algebraicos frente a la solución de ecuaciones a través de la </w:t>
      </w:r>
      <w:r>
        <w:rPr>
          <w:b/>
          <w:bCs/>
        </w:rPr>
        <w:t>inspección,</w:t>
      </w:r>
      <w:r>
        <w:rPr>
          <w:b/>
          <w:bCs/>
        </w:rPr>
        <w:t xml:space="preserve"> lectura </w:t>
      </w:r>
      <w:r>
        <w:rPr>
          <w:b/>
          <w:bCs/>
        </w:rPr>
        <w:t xml:space="preserve">o interpretación </w:t>
      </w:r>
      <w:r>
        <w:rPr>
          <w:b/>
          <w:bCs/>
        </w:rPr>
        <w:t>de las representaciones tabulares y gráficas de las funciones que forman los lados de la ecuación a resolver</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w:t>
      </w:r>
      <w:r>
        <w:rPr>
          <w:rFonts w:eastAsia="Open Sans" w:cs="Open Sans" w:ascii="Open Sans" w:hAnsi="Open Sans"/>
          <w:b w:val="false"/>
          <w:bCs w:val="false"/>
          <w:spacing w:val="-1"/>
          <w:sz w:val="18"/>
          <w:szCs w:val="18"/>
          <w:lang w:val="es-CO"/>
        </w:rPr>
        <w:t xml:space="preserve">s </w:t>
      </w:r>
      <w:r>
        <w:rPr>
          <w:rFonts w:eastAsia="Open Sans" w:cs="Open Sans" w:ascii="Open Sans" w:hAnsi="Open Sans"/>
          <w:b w:val="false"/>
          <w:bCs w:val="false"/>
          <w:spacing w:val="-1"/>
          <w:sz w:val="18"/>
          <w:szCs w:val="18"/>
          <w:lang w:val="es-CO"/>
        </w:rPr>
        <w:t>librería</w:t>
      </w:r>
      <w:r>
        <w:rPr>
          <w:rFonts w:eastAsia="Open Sans" w:cs="Open Sans" w:ascii="Open Sans" w:hAnsi="Open Sans"/>
          <w:b w:val="false"/>
          <w:bCs w:val="false"/>
          <w:spacing w:val="-1"/>
          <w:sz w:val="18"/>
          <w:szCs w:val="18"/>
          <w:lang w:val="es-CO"/>
        </w:rPr>
        <w:t>s</w:t>
      </w:r>
      <w:r>
        <w:rPr>
          <w:rFonts w:eastAsia="Open Sans" w:cs="Open Sans" w:ascii="Open Sans" w:hAnsi="Open Sans"/>
          <w:b w:val="false"/>
          <w:bCs w:val="false"/>
          <w:spacing w:val="-1"/>
          <w:sz w:val="18"/>
          <w:szCs w:val="18"/>
          <w:lang w:val="es-CO"/>
        </w:rPr>
        <w:t xml:space="preserve"> Sympy, </w:t>
      </w:r>
      <w:r>
        <w:rPr>
          <w:rFonts w:eastAsia="Open Sans" w:cs="Open Sans" w:ascii="Open Sans" w:hAnsi="Open Sans"/>
          <w:b w:val="false"/>
          <w:bCs w:val="false"/>
          <w:spacing w:val="-1"/>
          <w:sz w:val="18"/>
          <w:szCs w:val="18"/>
          <w:lang w:val="es-CO"/>
        </w:rPr>
        <w:t>Pandas, Matplotlib y Plotly</w:t>
      </w:r>
      <w:r>
        <w:rPr>
          <w:rFonts w:eastAsia="Open Sans" w:cs="Open Sans" w:ascii="Open Sans" w:hAnsi="Open Sans"/>
          <w:b w:val="false"/>
          <w:bCs w:val="false"/>
          <w:spacing w:val="-1"/>
          <w:sz w:val="18"/>
          <w:szCs w:val="18"/>
          <w:lang w:val="es-CO"/>
        </w:rPr>
        <w:t xml:space="preserve">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xml:space="preserve">- Desarrollar un enfoque educativo que priorice la enseñanza de la modelación matemática sobre la mera resolución de ecuaciones, enfatizando la importancia </w:t>
      </w:r>
      <w:r>
        <w:rPr>
          <w:rFonts w:eastAsia="Open Sans" w:cs="Open Sans" w:ascii="Open Sans" w:hAnsi="Open Sans"/>
          <w:b w:val="false"/>
          <w:bCs w:val="false"/>
          <w:spacing w:val="-1"/>
          <w:sz w:val="18"/>
          <w:szCs w:val="18"/>
          <w:lang w:val="es-CO"/>
        </w:rPr>
        <w:t xml:space="preserve">actual </w:t>
      </w:r>
      <w:r>
        <w:rPr>
          <w:rFonts w:eastAsia="Open Sans" w:cs="Open Sans" w:ascii="Open Sans" w:hAnsi="Open Sans"/>
          <w:b w:val="false"/>
          <w:bCs w:val="false"/>
          <w:spacing w:val="-1"/>
          <w:sz w:val="18"/>
          <w:szCs w:val="18"/>
          <w:lang w:val="es-CO"/>
        </w:rPr>
        <w:t>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Argumentación: La Importancia de la Tecnología en la Educación Matemática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La integración de la tecnología en la educación matemática es esencial en el contexto educativo actual. La tecnología no solo facilita el acceso a herramientas avanzadas de cálculo </w:t>
      </w:r>
      <w:r>
        <w:rPr>
          <w:rFonts w:eastAsia="Open Sans" w:cs="Open Sans" w:ascii="Open Sans" w:hAnsi="Open Sans"/>
          <w:b w:val="false"/>
          <w:bCs w:val="false"/>
          <w:spacing w:val="-1"/>
          <w:sz w:val="18"/>
          <w:szCs w:val="18"/>
          <w:lang w:val="es-CO"/>
        </w:rPr>
        <w:t>(Sympy de Python)</w:t>
      </w:r>
      <w:r>
        <w:rPr>
          <w:rFonts w:eastAsia="Open Sans" w:cs="Open Sans" w:ascii="Open Sans" w:hAnsi="Open Sans"/>
          <w:b w:val="false"/>
          <w:bCs w:val="false"/>
          <w:spacing w:val="-1"/>
          <w:sz w:val="18"/>
          <w:szCs w:val="18"/>
          <w:lang w:val="es-CO"/>
        </w:rPr>
        <w:t xml:space="preserve"> y visualización </w:t>
      </w:r>
      <w:r>
        <w:rPr>
          <w:rFonts w:eastAsia="Open Sans" w:cs="Open Sans" w:ascii="Open Sans" w:hAnsi="Open Sans"/>
          <w:b w:val="false"/>
          <w:bCs w:val="false"/>
          <w:spacing w:val="-1"/>
          <w:sz w:val="18"/>
          <w:szCs w:val="18"/>
          <w:lang w:val="es-CO"/>
        </w:rPr>
        <w:t>(Matplotlib y plotly de Python)</w:t>
      </w:r>
      <w:r>
        <w:rPr>
          <w:rFonts w:eastAsia="Open Sans" w:cs="Open Sans" w:ascii="Open Sans" w:hAnsi="Open Sans"/>
          <w:b w:val="false"/>
          <w:bCs w:val="false"/>
          <w:spacing w:val="-1"/>
          <w:sz w:val="18"/>
          <w:szCs w:val="18"/>
          <w:lang w:val="es-CO"/>
        </w:rPr>
        <w:t xml:space="preserve">, sino que también transforma la forma en que los estudiantes interactúan con conceptos matemáticos </w:t>
      </w:r>
      <w:r>
        <w:rPr>
          <w:rFonts w:eastAsia="Open Sans" w:cs="Open Sans" w:ascii="Open Sans" w:hAnsi="Open Sans"/>
          <w:b w:val="false"/>
          <w:bCs w:val="false"/>
          <w:spacing w:val="-1"/>
          <w:sz w:val="18"/>
          <w:szCs w:val="18"/>
          <w:lang w:val="es-CO"/>
        </w:rPr>
        <w:t>(Cuadernos Jupyter para lectura interactiva y experimental)</w:t>
      </w:r>
      <w:r>
        <w:rPr>
          <w:rFonts w:eastAsia="Open Sans" w:cs="Open Sans" w:ascii="Open Sans" w:hAnsi="Open Sans"/>
          <w:b w:val="false"/>
          <w:bCs w:val="false"/>
          <w:spacing w:val="-1"/>
          <w:sz w:val="18"/>
          <w:szCs w:val="18"/>
          <w:lang w:val="es-CO"/>
        </w:rPr>
        <w:t>.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**Facilitación del Aprendizaje**: 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**Promoción de la Modelación Matemática**: 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**Acceso y Manipulación de Datos**: 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**Innovación y Creatividad**: 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2. Marco Teórico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xml:space="preserve">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Cómo construir representaciones tabulares y gráficas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concretos (proporcionalidad directa,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**Interpretación de Representaciones**: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Proceso de leer e interpretar tablas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Resultados observados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**Síntesis de hallazgos**: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Estrategias para integrar tecnología y funciones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7"/>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617</TotalTime>
  <Application>LibreOffice/24.2.5.2$Linux_X86_64 LibreOffice_project/d6e8b0f3fc6e8af2b00cf4969fd0d2fa45b9a62e</Application>
  <AppVersion>15.0000</AppVersion>
  <Pages>8</Pages>
  <Words>3965</Words>
  <Characters>22399</Characters>
  <CharactersWithSpaces>26321</CharactersWithSpaces>
  <Paragraphs>177</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2024-07-17T12:03:51Z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