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05C1F5C3" w:rsidR="00EF5360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</w:p>
            </w:tc>
          </w:sdtContent>
        </w:sdt>
      </w:tr>
      <w:tr w:rsidR="00E865FC" w:rsidRPr="009A335D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B0A65D7" w:rsidR="00E865FC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3D40796" w14:textId="77777777" w:rsidR="009A335D" w:rsidRDefault="009A335D" w:rsidP="00CB4EF8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  <w:p w14:paraId="2A5FF7C9" w14:textId="7B862205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5CF706C9" w:rsidR="00EF5360" w:rsidRPr="00E17F13" w:rsidRDefault="009A335D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2025</w:t>
                </w:r>
                <w:r w:rsidR="007A6BA6">
                  <w:rPr>
                    <w:rFonts w:asciiTheme="minorHAnsi" w:hAnsiTheme="minorHAnsi"/>
                  </w:rPr>
                  <w:t>-1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09A9D63" w:rsidR="00EF5360" w:rsidRPr="00E17F13" w:rsidRDefault="00684433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2096632</w:t>
                </w:r>
              </w:p>
            </w:tc>
          </w:sdtContent>
        </w:sdt>
      </w:tr>
      <w:tr w:rsidR="0094313B" w:rsidRPr="00684433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0809391D" w:rsidR="0094313B" w:rsidRPr="00E17F13" w:rsidRDefault="00886947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Análisis Numérico</w:t>
                </w:r>
              </w:p>
            </w:tc>
          </w:sdtContent>
        </w:sdt>
      </w:tr>
      <w:tr w:rsidR="002A3DFF" w:rsidRPr="00886947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786CA60F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322D7FAA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269D3966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5B0B928B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B14C807" w:rsidR="00C86899" w:rsidRPr="00E17F13" w:rsidRDefault="001B2AC6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0EC565A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5C5B3781" w:rsidR="00C86899" w:rsidRPr="00E17F13" w:rsidRDefault="001B2AC6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5938145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72460ADE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144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6F25A5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332F07B0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8"/>
                <w:szCs w:val="22"/>
              </w:rPr>
              <w:t>Perfil de egreso del programa Licenciatura en Matemáticas (PEP, 2022):</w:t>
            </w:r>
          </w:p>
          <w:p w14:paraId="2E46C3E1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Sólida formación académica resultado de la imbricación entre los saberes disciplinares, didácticos y pedagógicos.</w:t>
            </w:r>
          </w:p>
          <w:p w14:paraId="6BD55984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Apropiación de epistemologías, teorías y metodologías de investigación en Educación Matemática, que le posibiliten desempeñarse de manera asertiva, prospectiva y crítica en los procesos de enseñanza de las matemáticas en los diversos contextos educativos (escolares y no escolares).</w:t>
            </w:r>
          </w:p>
          <w:p w14:paraId="72D8016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 sí mismo como un ser ético, estético y político para contribuir a las transformaciones sociales.</w:t>
            </w:r>
          </w:p>
          <w:p w14:paraId="63BBC920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del papel de la Educación Matemática en la formación de seres humanos críticos y reflexivos.</w:t>
            </w:r>
          </w:p>
          <w:p w14:paraId="361FCDA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Convicción de que su formación como profesor es un proceso continuo. Proceso que se fortalece a través de la reflexión antes, durante y después de su práctica pedagógica; proceso que se fortalece también desde su aproximación constante a fuentes epistemológicas, teóricas y metodológicas, y desde el trabajo colaborativo con pares académicos.</w:t>
            </w:r>
          </w:p>
          <w:p w14:paraId="7D226C1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Compromiso con los procesos de reflexión y de investigación sobre la enseñanza y el aprendizaje de las matemáticas, en diversos contextos escolares y no escolares.</w:t>
            </w:r>
          </w:p>
          <w:p w14:paraId="2C9AA7EC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 que se desempeñe como consultor y asesor capaz de diseñar, gestionar y evaluar propuestas, programas, planes y proyectos educativos, pedagógicos, didácticos y curriculares, disciplinares e interdisciplinares en diversos contextos escolares y no escolares.</w:t>
            </w:r>
          </w:p>
          <w:p w14:paraId="4428C74D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 capaz de participar en redes y comunidades académicas e investigativas (nacionales o internacionales) de producción científica abierta.</w:t>
            </w:r>
          </w:p>
          <w:p w14:paraId="6B72A225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sz w:val="28"/>
              </w:rPr>
            </w:pPr>
          </w:p>
          <w:p w14:paraId="27C36918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b/>
                <w:sz w:val="28"/>
              </w:rPr>
            </w:pPr>
            <w:r>
              <w:rPr>
                <w:rFonts w:ascii="arial;sans-serif" w:hAnsi="arial;sans-serif"/>
                <w:b/>
                <w:sz w:val="28"/>
              </w:rPr>
              <w:t>Resultados de aprendizaje:</w:t>
            </w:r>
          </w:p>
          <w:p w14:paraId="0EA376BE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Comprender los fundamentos teóricos y metodológicos de las matemáticas, su historia y su didáctica, para diseñar propuestas educativas que promuevan el pensamiento matemático de los estudiantes en la educación básica, media y terciaria.</w:t>
            </w:r>
          </w:p>
          <w:p w14:paraId="300F134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Interpretar los diferentes marcos epistemológicos, metodológicos, políticos, éticos y estéticos relativos a la educación matemática como campo de saberes y prácticas, a partir de los cuales desarrolla una discusión situada sobre problemas de la profesión y la toma de decisiones en su práctica profesional.</w:t>
            </w:r>
          </w:p>
          <w:p w14:paraId="4D62F30A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Conocer los problemas y paradigmas de investigación en educación matemática, para informar sus actuaciones en el ejercicio profesional.</w:t>
            </w:r>
          </w:p>
          <w:p w14:paraId="6812B09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Analizar críticamente elementos curriculares, sociales y políticos que configuran las prácticas en educación matemática en Colombia para la toma de decisiones en su práctica profesional.</w:t>
            </w:r>
          </w:p>
          <w:p w14:paraId="300D17D3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Investigar sobre las problemáticas de la enseñanza o el aprendizaje de las matemáticas en contextos específicos de práctica, y proponer soluciones innovadoras para promover el desarrollo del pensamiento matemático de los estudiantes.</w:t>
            </w:r>
          </w:p>
          <w:p w14:paraId="0157CF60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Utilizar en su práctica profesional los conocimientos teóricos y metodológicos relacionados con las matemáticas, su historia, filosofía y epistemología de la educación.</w:t>
            </w:r>
          </w:p>
          <w:p w14:paraId="20BB418F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Se posiciona críticamente frente a la política educativa nacional en educación matemática para analizar los problemas profesionales de las instituciones educativas y los sujetos.</w:t>
            </w:r>
          </w:p>
          <w:p w14:paraId="4ACEE0D1" w14:textId="18336010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Identificar en la pluralidad de saberes la diversidad de los estudiantes para diseñar propuestas educativas inclusivas.</w:t>
            </w:r>
            <w:r w:rsid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C693314" w14:textId="77777777" w:rsidR="006F25A5" w:rsidRDefault="006F25A5" w:rsidP="006F25A5">
            <w:pPr>
              <w:pStyle w:val="Textoindependiente"/>
              <w:tabs>
                <w:tab w:val="left" w:pos="0"/>
              </w:tabs>
              <w:rPr>
                <w:rFonts w:ascii="arial;sans-serif" w:hAnsi="arial;sans-serif"/>
                <w:sz w:val="28"/>
              </w:rPr>
            </w:pPr>
          </w:p>
          <w:p w14:paraId="57D24F8F" w14:textId="6CF0904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b/>
                <w:bCs/>
                <w:sz w:val="28"/>
              </w:rPr>
              <w:t>Propósito y Justificación del Curso "Análisis Numérico" en la Licenciatura en Matemáticas (Facultad de Educación - UdeA)</w:t>
            </w:r>
            <w:r w:rsidRP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A430847" w14:textId="740D945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En el marco de la investigación:  </w:t>
            </w:r>
          </w:p>
          <w:p w14:paraId="38A151C7" w14:textId="3A2D397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i/>
                <w:iCs/>
                <w:sz w:val="28"/>
              </w:rPr>
            </w:pPr>
            <w:r w:rsidRPr="006F25A5">
              <w:rPr>
                <w:rFonts w:ascii="arial;sans-serif" w:hAnsi="arial;sans-serif"/>
                <w:i/>
                <w:iCs/>
                <w:sz w:val="28"/>
              </w:rPr>
              <w:t xml:space="preserve">"Impacto de un enfoque multimodal (representaciones de Duval + ABPP + STEAMS + Aula Invertida) en la enseñanza del Análisis Numérico para la formación de futuros docentes de Matemáticas de la Facultad de Educación de la Universidad de Antioquia, Campus Caucasia".  </w:t>
            </w:r>
          </w:p>
          <w:p w14:paraId="1FCB0BC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B41C20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24BD852C" w14:textId="16CE9DDB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Propósito del Curso  </w:t>
            </w:r>
          </w:p>
          <w:p w14:paraId="15AAC1E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Formar futuros licenciados en Matemáticas con:  </w:t>
            </w:r>
          </w:p>
          <w:p w14:paraId="52DE6BE0" w14:textId="01B42B0D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1.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Competencias técnicas y pedagógicas</w:t>
            </w:r>
            <w:r w:rsidRPr="006F25A5">
              <w:rPr>
                <w:rFonts w:ascii="arial;sans-serif" w:hAnsi="arial;sans-serif"/>
                <w:sz w:val="28"/>
              </w:rPr>
              <w:t xml:space="preserve"> para enseñar métodos numéricos como herramienta de modelación matemática en contextos educativos reales, vinculando teoría, algoritmos y aplicaciones prácticas.  </w:t>
            </w:r>
          </w:p>
          <w:p w14:paraId="39DD54DB" w14:textId="1AF637C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Habilidades críticas</w:t>
            </w:r>
            <w:r w:rsidRPr="006F25A5">
              <w:rPr>
                <w:rFonts w:ascii="arial;sans-serif" w:hAnsi="arial;sans-serif"/>
                <w:sz w:val="28"/>
              </w:rPr>
              <w:t xml:space="preserve"> para evaluar límites y potencialidades de las soluciones numéricas (errores, convergencia, estabilidad), fomentando en sus estudiantes una visión rigurosa pero accesible de las matemáticas computacionales.  </w:t>
            </w:r>
          </w:p>
          <w:p w14:paraId="7B0D1F49" w14:textId="2F60A20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3. Capacidad de adaptación </w:t>
            </w:r>
            <w:r w:rsidRPr="006F25A5">
              <w:rPr>
                <w:rFonts w:ascii="arial;sans-serif" w:hAnsi="arial;sans-serif"/>
                <w:sz w:val="28"/>
              </w:rPr>
              <w:t xml:space="preserve">a entornos educativos diversos (ej.: escuelas con limitaciones tecnológicas), mediante estrategias didácticas multimodales que integran representaciones gráficas, manipulativas y digitales (en línea con la teoría de Duval y el enfoque STEAMS).  </w:t>
            </w:r>
          </w:p>
          <w:p w14:paraId="41762988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11B94AD" w14:textId="6FEB0B4F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Justificación (Alineación con el Perfil del Egresado)</w:t>
            </w:r>
            <w:r w:rsidRPr="00D95761">
              <w:rPr>
                <w:rFonts w:ascii="arial;sans-serif" w:hAnsi="arial;sans-serif"/>
                <w:sz w:val="28"/>
              </w:rPr>
              <w:t xml:space="preserve">  </w:t>
            </w:r>
          </w:p>
          <w:p w14:paraId="4A239D7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35DD34C" w14:textId="4171D626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1. Conocimientos Disciplinarios</w:t>
            </w:r>
            <w:r w:rsidRPr="006F25A5">
              <w:rPr>
                <w:rFonts w:ascii="arial;sans-serif" w:hAnsi="arial;sans-serif"/>
                <w:sz w:val="28"/>
              </w:rPr>
              <w:t xml:space="preserve"> (Perfil 1):  </w:t>
            </w:r>
          </w:p>
          <w:p w14:paraId="517FF35C" w14:textId="0A25710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aporta dominio de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métodos numéricos</w:t>
            </w:r>
            <w:r w:rsidRPr="006F25A5">
              <w:rPr>
                <w:rFonts w:ascii="arial;sans-serif" w:hAnsi="arial;sans-serif"/>
                <w:sz w:val="28"/>
              </w:rPr>
              <w:t xml:space="preserve"> (interpolación, derivación numérica, resolución de ecuaciones no lineales) como complemento esencial al análisis matemático tradicional, cerrando la brecha entre matemáticas puras y aplicadas.  </w:t>
            </w:r>
          </w:p>
          <w:p w14:paraId="34A7E7B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**Vinculación con la investigación**: El enfoque multimodal (Aula Invertida + ABPP) permite contrastar métodos analíticos vs. numéricos, fortaleciendo la comprensión profunda de conceptos abstractos.  </w:t>
            </w:r>
          </w:p>
          <w:p w14:paraId="2871226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1741E23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**Competencias Pedagógicas** (Perfil 2):  </w:t>
            </w:r>
          </w:p>
          <w:p w14:paraId="558F8004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 integración de **representaciones múltiples** (Duval) y **aprendizaje basado en proyectos reales (ABPP)** capacita al futuro docente para:  </w:t>
            </w:r>
          </w:p>
          <w:p w14:paraId="7D2EE9D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Diseñar secuencias didácticas que vinculen algoritmos numéricos con problemas cotidianos (ej.: predicción de cosechas en el Bajo Cauca usando regresión).  </w:t>
            </w:r>
          </w:p>
          <w:p w14:paraId="0BCE263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Utilizar herramientas tecnológicas (Python, GeoGebra) de manera pedagógica, no instrumental.  </w:t>
            </w:r>
          </w:p>
          <w:p w14:paraId="7E9CD38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16C1A84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3. **Capacidad de Investigación** (Perfil 3):  </w:t>
            </w:r>
          </w:p>
          <w:p w14:paraId="0B421B9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fomenta la **investigación-acción** en educación matemática, al evaluar el impacto del enfoque multimodal en:  </w:t>
            </w:r>
          </w:p>
          <w:p w14:paraId="022916F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reducción de obstáculos epistemológicos (ej.: comprensión del error numérico en estudiantes de secundaria).  </w:t>
            </w:r>
          </w:p>
          <w:p w14:paraId="7D62FAE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motivación hacia las matemáticas aplicadas en contextos rurales.  </w:t>
            </w:r>
          </w:p>
          <w:p w14:paraId="593FCBA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F74B9E1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4. **Compromiso Social** (Perfil 4):  </w:t>
            </w:r>
          </w:p>
          <w:p w14:paraId="3C0BE260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Los proyectos STEAMS (*Science, Technology, Engineering, Arts, Mathematics, Society*) incorporados en el curso promueven:  </w:t>
            </w:r>
          </w:p>
          <w:p w14:paraId="2EF85D9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Soluciones numéricas a problemas locales (ej.: optimización de recursos en escuelas con acceso limitado a computadores).  </w:t>
            </w:r>
          </w:p>
          <w:p w14:paraId="092BF04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Una visión humanizada de la matemática computacional, relevante para entornos vulnerables.  </w:t>
            </w:r>
          </w:p>
          <w:p w14:paraId="75ACCB7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0107B7D5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5. **Pensamiento Crítico** (Perfil 5):  </w:t>
            </w:r>
          </w:p>
          <w:p w14:paraId="2024210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Análisis de casos donde los métodos numéricos **fallan** (ej.: inestabilidad en ecuaciones diferenciales), desarrollando en los futuros docentes la capacidad de cuestionar críticamente resultados y modelos.  </w:t>
            </w:r>
          </w:p>
          <w:p w14:paraId="2514ABD1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251049D5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6. **Trabajo Interdisciplinario** (Perfil 6):  </w:t>
            </w:r>
          </w:p>
          <w:p w14:paraId="7CED247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Las actividades ABPP requieren colaboración con áreas como física o ciencias sociales (ej.: modelar datos epidemiológicos para campañas de salud pública en Caucasia).  </w:t>
            </w:r>
          </w:p>
          <w:p w14:paraId="309DC92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039E70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7. **Formación Continua** (Perfil 7):  </w:t>
            </w:r>
          </w:p>
          <w:p w14:paraId="38600068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uso de **Aula Invertida** prepara a los licenciados para autoformarse en herramientas emergentes (ej.: IA generativa en educación matemática), clave en su desarrollo profesional futuro.  </w:t>
            </w:r>
          </w:p>
          <w:p w14:paraId="55FC76F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16CABC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>---</w:t>
            </w:r>
          </w:p>
          <w:p w14:paraId="51061CF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293559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### **Aportes Específicos del Curso**  </w:t>
            </w:r>
          </w:p>
          <w:p w14:paraId="1946DAA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- **Para el perfil docente**:  </w:t>
            </w:r>
          </w:p>
          <w:p w14:paraId="4E3FAC1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**Didáctica de la matemática computacional**: Enseñar a enseñar métodos numéricos con enfoque en la *comprensión conceptual* (no solo algorítmica).  </w:t>
            </w:r>
          </w:p>
          <w:p w14:paraId="7BBA8DC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**Adaptabilidad**: Estrategias para llevar el análisis numérico a aulas con recursos limitados (ej.: analogías físicas con materiales cotidianos).  </w:t>
            </w:r>
          </w:p>
          <w:p w14:paraId="3EDE02C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61E67E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- **Para la investigación educativa**:  </w:t>
            </w:r>
          </w:p>
          <w:p w14:paraId="37843B25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Genera datos sobre la efectividad del enfoque multimodal en la **zona del Bajo Cauca**, contribuyendo a la innovación en educación matemática regional.  </w:t>
            </w:r>
          </w:p>
          <w:p w14:paraId="66DDBF7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40683C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- **Para la comunidad**:  </w:t>
            </w:r>
          </w:p>
          <w:p w14:paraId="68FA63C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Proyectos STEAMS vinculados a necesidades locales (ej.: optimización logística de transporte escolar usando programación lineal).  </w:t>
            </w:r>
          </w:p>
          <w:p w14:paraId="68D388A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162DB4E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>---</w:t>
            </w:r>
          </w:p>
          <w:p w14:paraId="7281B3AB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4D6985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### **Conclusión**  </w:t>
            </w:r>
          </w:p>
          <w:p w14:paraId="679F06C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Este curso, desde su diseño multimodal, no solo cubre contenidos disciplinares, sino que **redefine la enseñanza del análisis numérico** para futuros docentes, al:  </w:t>
            </w:r>
          </w:p>
          <w:p w14:paraId="5AD359DA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1. **Contextualizar** los métodos numéricos en realidades educativas diversas.  </w:t>
            </w:r>
          </w:p>
          <w:p w14:paraId="792AF96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**Democratizar** el acceso a herramientas computacionales mediante pedagogías activas.  </w:t>
            </w:r>
          </w:p>
          <w:p w14:paraId="00AFC6C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3. **Investigar** desde la práctica cómo mejorar la alfabetización matemática en regiones periféricas.  </w:t>
            </w:r>
          </w:p>
          <w:p w14:paraId="7268B33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5AFAA9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**Ejemplo concreto**: Un estudiante de la licenciatura podrá diseñar una unidad didáctica donde alumnos de secundaria resuelvan problemas de optimización de cultivos (usando métodos numéricos) con hojas de cálculo, integrando arte (gráficos) y sociedad (impacto económico en Caucasia).  </w:t>
            </w:r>
          </w:p>
          <w:p w14:paraId="2F30E41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4BE821C" w14:textId="01AAE96D" w:rsidR="00722E2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>¿Necesitas ajustar algún componente para reflejar mejor los objetivos de tu investigación?</w:t>
            </w:r>
          </w:p>
          <w:p w14:paraId="7D939D68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30AA175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7D618E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52F9FCD8" w:rsidR="007F7C78" w:rsidRPr="007F7C78" w:rsidRDefault="001157CA" w:rsidP="007F7C7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7F7C78" w:rsidRPr="002D2963">
                  <w:rPr>
                    <w:rStyle w:val="Textodelmarcadordeposicin"/>
                    <w:rFonts w:ascii="Calibri" w:hAnsi="Calibri"/>
                  </w:rPr>
                  <w:t>Elija un</w:t>
                </w:r>
                <w:r w:rsidR="007F7C78">
                  <w:rPr>
                    <w:rStyle w:val="Textodelmarcadordeposicin"/>
                    <w:rFonts w:ascii="Calibri" w:hAnsi="Calibri"/>
                  </w:rPr>
                  <w:t xml:space="preserve"> elemento</w:t>
                </w:r>
                <w:r w:rsidR="007F7C78" w:rsidRPr="002D2963">
                  <w:rPr>
                    <w:rStyle w:val="Textodelmarcadordeposicin"/>
                    <w:rFonts w:ascii="Calibri" w:hAnsi="Calibri"/>
                  </w:rPr>
                  <w:t>.</w:t>
                </w:r>
              </w:sdtContent>
            </w:sdt>
          </w:p>
        </w:tc>
      </w:tr>
      <w:tr w:rsidR="001157CA" w:rsidRPr="003C7227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0E2BC935" w14:textId="6540F4DE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14:paraId="6BC6681D" w14:textId="00B0C656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3C2575BE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1521CA52" w14:textId="23C0E1B9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14:paraId="6403BAF5" w14:textId="15D7806F" w:rsidR="001157CA" w:rsidRPr="005E2BA3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Concepción de evaluación, modalidades (auto, co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DB571" w14:textId="77777777" w:rsidR="00A30511" w:rsidRDefault="00A30511" w:rsidP="00835BE4">
      <w:r>
        <w:separator/>
      </w:r>
    </w:p>
  </w:endnote>
  <w:endnote w:type="continuationSeparator" w:id="0">
    <w:p w14:paraId="1D9BD106" w14:textId="77777777" w:rsidR="00A30511" w:rsidRDefault="00A30511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9B42D" w14:textId="77777777" w:rsidR="00A30511" w:rsidRDefault="00A30511" w:rsidP="00835BE4">
      <w:r>
        <w:separator/>
      </w:r>
    </w:p>
  </w:footnote>
  <w:footnote w:type="continuationSeparator" w:id="0">
    <w:p w14:paraId="15A02FB4" w14:textId="77777777" w:rsidR="00A30511" w:rsidRDefault="00A30511" w:rsidP="00835BE4">
      <w:r>
        <w:continuationSeparator/>
      </w:r>
    </w:p>
  </w:footnote>
  <w:footnote w:id="1">
    <w:p w14:paraId="78AFBCEB" w14:textId="5AFDB49C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Textonotapie"/>
      </w:pPr>
    </w:p>
    <w:p w14:paraId="469C9D2A" w14:textId="7B07CD5D" w:rsidR="00C46728" w:rsidRPr="00C46728" w:rsidRDefault="00C46728">
      <w:pPr>
        <w:pStyle w:val="Textonotapie"/>
        <w:rPr>
          <w:lang w:val="es-MX"/>
        </w:rPr>
      </w:pPr>
    </w:p>
  </w:footnote>
  <w:footnote w:id="4">
    <w:p w14:paraId="5113A604" w14:textId="731D9C7B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28A5"/>
    <w:multiLevelType w:val="multilevel"/>
    <w:tmpl w:val="EA7AD69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2F5B4F"/>
    <w:multiLevelType w:val="multilevel"/>
    <w:tmpl w:val="5664A3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6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8"/>
  </w:num>
  <w:num w:numId="18" w16cid:durableId="210002265">
    <w:abstractNumId w:val="15"/>
  </w:num>
  <w:num w:numId="19" w16cid:durableId="102906134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2AC6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2F60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4433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25A5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2E23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A6BA6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003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86947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35D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0511"/>
    <w:rsid w:val="00A32A66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2C0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5761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5F65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97AEE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EE5F65"/>
    <w:pPr>
      <w:suppressAutoHyphens/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EE5F6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C3A63"/>
    <w:rsid w:val="001E4552"/>
    <w:rsid w:val="001E7937"/>
    <w:rsid w:val="00202546"/>
    <w:rsid w:val="00267A5E"/>
    <w:rsid w:val="00294D85"/>
    <w:rsid w:val="002C5883"/>
    <w:rsid w:val="002E4496"/>
    <w:rsid w:val="002F2F60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740A3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32A66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1968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CANAS CAMPILLO</cp:lastModifiedBy>
  <cp:revision>18</cp:revision>
  <cp:lastPrinted>2018-07-12T21:57:00Z</cp:lastPrinted>
  <dcterms:created xsi:type="dcterms:W3CDTF">2023-01-30T15:47:00Z</dcterms:created>
  <dcterms:modified xsi:type="dcterms:W3CDTF">2025-03-26T02:13:00Z</dcterms:modified>
</cp:coreProperties>
</file>