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B62D7A5096F64F96B104A6E8617B8616"/>
                </w:placeholder>
                <w:id w:val="-1881623570"/>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Machine Learning and deep learning for time series</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7D78BE8594F04685B47111E0483C2C94"/>
                </w:placeholder>
                <w:id w:val="-1962957546"/>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Licenciatura en matemáticas</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43C561B77ADA442D821DB7F490DDA86B"/>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 xml:space="preserve">Licenciatura en matemáticas </w:t>
                </w:r>
              </w:sdtContent>
            </w:sdt>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2024-2, 2025 - 1</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text/>
              </w:sdtPr>
              <w:sdtContent>
                <w:r>
                  <w:rPr>
                    <w:rFonts w:eastAsia="Calibri" w:cs="Calibri" w:ascii="Calibri" w:hAnsi="Calibri"/>
                    <w:color w:val="222222"/>
                    <w:kern w:val="0"/>
                    <w:position w:val="0"/>
                    <w:sz w:val="24"/>
                    <w:sz w:val="24"/>
                    <w:szCs w:val="20"/>
                    <w:vertAlign w:val="baseline"/>
                    <w:lang w:val="es-ES" w:eastAsia="es-ES" w:bidi="ar-SA"/>
                  </w:rPr>
                </w:r>
                <w:r>
                  <w:rPr>
                    <w:rFonts w:eastAsia="Calibri" w:cs="Calibri" w:ascii="Calibri" w:hAnsi="Calibri"/>
                    <w:color w:val="222222"/>
                    <w:kern w:val="0"/>
                    <w:position w:val="0"/>
                    <w:sz w:val="24"/>
                    <w:sz w:val="24"/>
                    <w:szCs w:val="20"/>
                    <w:vertAlign w:val="baseline"/>
                    <w:lang w:val="es-ES" w:eastAsia="es-ES" w:bidi="ar-SA"/>
                  </w:rPr>
                </w:r>
              </w:sdtContent>
            </w:sdt>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background1" w:themeShade="80" w:val="808080"/>
                    <w:kern w:val="0"/>
                    <w:sz w:val="20"/>
                    <w:szCs w:val="20"/>
                    <w:lang w:val="es-ES" w:eastAsia="es-ES" w:bidi="ar-SA"/>
                  </w:rPr>
                  <w:t>Elija un elemento.</w:t>
                </w:r>
              </w:sdtContent>
            </w:sdt>
          </w:p>
          <w:p>
            <w:pPr>
              <w:pStyle w:val="Normal"/>
              <w:widowControl/>
              <w:suppressAutoHyphens w:val="true"/>
              <w:spacing w:before="0" w:after="0"/>
              <w:contextualSpacing/>
              <w:jc w:val="left"/>
              <w:rPr>
                <w:rFonts w:ascii="Calibri" w:hAnsi="Calibri"/>
              </w:rPr>
            </w:pPr>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Calibri" w:cs="Calibri" w:ascii="Calibri" w:hAnsi="Calibri"/>
                    <w:b/>
                    <w:bCs/>
                    <w:color w:themeColor="text1" w:val="000000"/>
                    <w:kern w:val="0"/>
                    <w:sz w:val="20"/>
                    <w:szCs w:val="20"/>
                    <w:lang w:val="es-CO" w:eastAsia="es-ES" w:bidi="ar-SA"/>
                  </w:rPr>
                  <w:t>En caso de elegir “Otro”, indique cuál.</w:t>
                </w:r>
                <w:r>
                  <w:rPr>
                    <w:rFonts w:eastAsia="Times New Roman" w:cs="Times New Roman" w:ascii="Calibri" w:hAnsi="Calibri"/>
                    <w:kern w:val="0"/>
                    <w:sz w:val="22"/>
                    <w:szCs w:val="20"/>
                    <w:lang w:val="es-ES" w:eastAsia="es-ES" w:bidi="ar-SA"/>
                  </w:rPr>
                  <w:t xml:space="preserve"> </w:t>
                  <w:br/>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color w:themeColor="background1" w:themeShade="80" w:val="808080"/>
                    <w:kern w:val="0"/>
                    <w:sz w:val="20"/>
                    <w:szCs w:val="20"/>
                    <w:lang w:val="es-ES" w:eastAsia="es-ES" w:bidi="ar-SA"/>
                  </w:rPr>
                  <w:t>Número (suma de las horas de interacción estudiante-profesor y de trabajo independiente).</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Sólida formación académica resultado de la imbricación entre los saberes disciplinares, didácticos y pedagógicos.</w:t>
            </w:r>
          </w:p>
          <w:p>
            <w:pPr>
              <w:pStyle w:val="Normal"/>
              <w:suppressAutoHyphens w:val="true"/>
              <w:ind w:hanging="0" w:left="0" w:right="0"/>
              <w:rPr>
                <w:color w:val="000000"/>
                <w:highlight w:val="none"/>
                <w:shd w:fill="FFFFFF" w:val="clear"/>
              </w:rPr>
            </w:pPr>
            <w:r>
              <w:rPr>
                <w:color w:val="000000"/>
                <w:shd w:fill="FFFFFF" w:val="clear"/>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pPr>
              <w:pStyle w:val="Normal"/>
              <w:suppressAutoHyphens w:val="true"/>
              <w:ind w:hanging="0" w:left="0" w:right="0"/>
              <w:rPr>
                <w:color w:val="000000"/>
                <w:highlight w:val="none"/>
                <w:shd w:fill="FFFFFF" w:val="clear"/>
              </w:rPr>
            </w:pPr>
            <w:r>
              <w:rPr>
                <w:color w:val="000000"/>
                <w:shd w:fill="FFFFFF" w:val="clear"/>
              </w:rPr>
              <w:t>Reconocimiento de sí mismo como un ser ético, estético y político para contribuir a las transformaciones sociales.</w:t>
            </w:r>
          </w:p>
          <w:p>
            <w:pPr>
              <w:pStyle w:val="Normal"/>
              <w:suppressAutoHyphens w:val="true"/>
              <w:ind w:hanging="0" w:left="0" w:right="0"/>
              <w:rPr>
                <w:color w:val="000000"/>
                <w:highlight w:val="none"/>
                <w:shd w:fill="FFFFFF" w:val="clear"/>
              </w:rPr>
            </w:pPr>
            <w:r>
              <w:rPr>
                <w:color w:val="000000"/>
                <w:shd w:fill="FFFFFF" w:val="clear"/>
              </w:rPr>
              <w:t>Reconocimiento del papel de la Educación Matemática en la formación de seres humanos críticos y reflexivos.</w:t>
            </w:r>
          </w:p>
          <w:p>
            <w:pPr>
              <w:pStyle w:val="Normal"/>
              <w:suppressAutoHyphens w:val="true"/>
              <w:ind w:hanging="0" w:left="0" w:right="0"/>
              <w:rPr>
                <w:color w:val="000000"/>
                <w:highlight w:val="none"/>
                <w:shd w:fill="FFFFFF" w:val="clear"/>
              </w:rPr>
            </w:pPr>
            <w:r>
              <w:rPr>
                <w:color w:val="000000"/>
                <w:shd w:fill="FFFFFF" w:val="clear"/>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pPr>
              <w:pStyle w:val="Normal"/>
              <w:suppressAutoHyphens w:val="true"/>
              <w:ind w:hanging="0" w:left="0" w:right="0"/>
              <w:rPr>
                <w:color w:val="000000"/>
                <w:highlight w:val="none"/>
                <w:shd w:fill="FFFFFF" w:val="clear"/>
              </w:rPr>
            </w:pPr>
            <w:r>
              <w:rPr>
                <w:color w:val="000000"/>
                <w:shd w:fill="FFFFFF" w:val="clear"/>
              </w:rPr>
              <w:t>Compromiso con los procesos de reflexión y de investigación sobre la enseñanza y el aprendizaje de las matemáticas, en diversos contextos escolares y no escolares.</w:t>
            </w:r>
          </w:p>
          <w:p>
            <w:pPr>
              <w:pStyle w:val="Normal"/>
              <w:suppressAutoHyphens w:val="true"/>
              <w:ind w:hanging="0" w:left="0" w:right="0"/>
              <w:rPr>
                <w:color w:val="000000"/>
                <w:highlight w:val="none"/>
                <w:shd w:fill="FFFFFF" w:val="clear"/>
              </w:rPr>
            </w:pPr>
            <w:r>
              <w:rPr>
                <w:color w:val="000000"/>
                <w:shd w:fill="FFFFFF" w:val="clear"/>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pPr>
              <w:pStyle w:val="Normal"/>
              <w:suppressAutoHyphens w:val="true"/>
              <w:ind w:hanging="0" w:left="0" w:right="0"/>
              <w:rPr>
                <w:color w:val="000000"/>
                <w:highlight w:val="none"/>
                <w:shd w:fill="FFFFFF" w:val="clear"/>
              </w:rPr>
            </w:pPr>
            <w:r>
              <w:rPr>
                <w:color w:val="000000"/>
                <w:shd w:fill="FFFFFF" w:val="clear"/>
              </w:rPr>
              <w:t>Profesional de la educación matemática capaz de participar en redes y comunidades académicas e investigativas (nacionales o internacionales) de producción científica abierta.</w:t>
            </w:r>
          </w:p>
          <w:p>
            <w:pPr>
              <w:pStyle w:val="Normal"/>
              <w:suppressAutoHyphens w:val="true"/>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Resultados de aprendizaje:</w:t>
            </w:r>
          </w:p>
          <w:p>
            <w:pPr>
              <w:pStyle w:val="Normal"/>
              <w:suppressAutoHyphens w:val="true"/>
              <w:rPr>
                <w:color w:val="000000"/>
                <w:highlight w:val="none"/>
                <w:shd w:fill="FFFFFF" w:val="clear"/>
              </w:rPr>
            </w:pPr>
            <w:r>
              <w:rPr>
                <w:color w:val="000000"/>
                <w:shd w:fill="FFFFFF" w:val="clear"/>
              </w:rPr>
            </w:r>
          </w:p>
          <w:p>
            <w:pPr>
              <w:pStyle w:val="Normal"/>
              <w:suppressAutoHyphens w:val="true"/>
              <w:ind w:hanging="0" w:left="0" w:right="0"/>
              <w:rPr>
                <w:color w:val="000000"/>
                <w:highlight w:val="none"/>
                <w:shd w:fill="FFFFFF" w:val="clear"/>
              </w:rPr>
            </w:pPr>
            <w:r>
              <w:rPr>
                <w:color w:val="000000"/>
                <w:shd w:fill="FFFFFF" w:val="clear"/>
              </w:rPr>
              <w:t>* Comprender los fundamentos teóricos y metodológicos de las matemáticas, su historia y su didáctica, para diseñar propuestas educativas que promuevan el pensamiento matemático de los estudiantes en la educación básica, media y terciaria.</w:t>
            </w:r>
          </w:p>
          <w:p>
            <w:pPr>
              <w:pStyle w:val="Normal"/>
              <w:suppressAutoHyphens w:val="true"/>
              <w:ind w:hanging="0" w:left="0" w:right="0"/>
              <w:rPr>
                <w:color w:val="000000"/>
                <w:highlight w:val="none"/>
                <w:shd w:fill="FFFFFF" w:val="clear"/>
              </w:rPr>
            </w:pPr>
            <w:r>
              <w:rPr>
                <w:color w:val="000000"/>
                <w:shd w:fill="FFFFFF" w:val="clear"/>
              </w:rPr>
              <w:t>* 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pPr>
              <w:pStyle w:val="Normal"/>
              <w:suppressAutoHyphens w:val="true"/>
              <w:ind w:hanging="0" w:left="0" w:right="0"/>
              <w:rPr>
                <w:color w:val="000000"/>
                <w:highlight w:val="none"/>
                <w:shd w:fill="FFFFFF" w:val="clear"/>
              </w:rPr>
            </w:pPr>
            <w:r>
              <w:rPr>
                <w:color w:val="000000"/>
                <w:shd w:fill="FFFFFF" w:val="clear"/>
              </w:rPr>
              <w:t>* Conocer los problemas y paradigmas de investigación en educación matemática, para informar sus actuaciones en el ejercicio profesional.</w:t>
            </w:r>
          </w:p>
          <w:p>
            <w:pPr>
              <w:pStyle w:val="Normal"/>
              <w:suppressAutoHyphens w:val="true"/>
              <w:ind w:hanging="0" w:left="0" w:right="0"/>
              <w:rPr>
                <w:color w:val="000000"/>
                <w:highlight w:val="none"/>
                <w:shd w:fill="FFFFFF" w:val="clear"/>
              </w:rPr>
            </w:pPr>
            <w:r>
              <w:rPr>
                <w:color w:val="000000"/>
                <w:shd w:fill="FFFFFF" w:val="clear"/>
              </w:rPr>
              <w:t>Analizar críticamente elementos curriculares, sociales y políticos que configuran las prácticas en educación matemática en Colombia para la toma de decisiones en su práctica profesional.</w:t>
            </w:r>
          </w:p>
          <w:p>
            <w:pPr>
              <w:pStyle w:val="Normal"/>
              <w:suppressAutoHyphens w:val="true"/>
              <w:ind w:hanging="0" w:left="0" w:right="0"/>
              <w:rPr>
                <w:color w:val="000000"/>
                <w:highlight w:val="none"/>
                <w:shd w:fill="FFFFFF" w:val="clear"/>
              </w:rPr>
            </w:pPr>
            <w:r>
              <w:rPr>
                <w:color w:val="000000"/>
                <w:shd w:fill="FFFFFF" w:val="clear"/>
              </w:rPr>
              <w:t>Investigar sobre las problemáticas de la enseñanza o el aprendizaje de las matemáticas en contextos específicos de práctica, y proponer soluciones innovadoras para promover el desarrollo del pensamiento matemático de los estudiantes.</w:t>
            </w:r>
          </w:p>
          <w:p>
            <w:pPr>
              <w:pStyle w:val="Normal"/>
              <w:suppressAutoHyphens w:val="true"/>
              <w:ind w:hanging="0" w:left="0" w:right="0"/>
              <w:rPr>
                <w:color w:val="000000"/>
                <w:highlight w:val="none"/>
                <w:shd w:fill="FFFFFF" w:val="clear"/>
              </w:rPr>
            </w:pPr>
            <w:r>
              <w:rPr>
                <w:color w:val="000000"/>
                <w:shd w:fill="FFFFFF" w:val="clear"/>
              </w:rPr>
              <w:t>Utilizar en su práctica profesional los conocimientos teóricos y metodológicos relacionados con las matemáticas, su historia, filosofía y epistemología de la educación.</w:t>
            </w:r>
          </w:p>
          <w:p>
            <w:pPr>
              <w:pStyle w:val="Normal"/>
              <w:suppressAutoHyphens w:val="true"/>
              <w:ind w:hanging="0" w:left="0" w:right="0"/>
              <w:rPr>
                <w:color w:val="000000"/>
                <w:highlight w:val="none"/>
                <w:shd w:fill="FFFFFF" w:val="clear"/>
              </w:rPr>
            </w:pPr>
            <w:r>
              <w:rPr>
                <w:color w:val="000000"/>
                <w:shd w:fill="FFFFFF" w:val="clear"/>
              </w:rPr>
              <w:t>Se posiciona críticamente frente a la política educativa nacional en educación matemática para analizar los problemas profesionales de las instituciones educativas y los sujetos.</w:t>
            </w:r>
          </w:p>
          <w:p>
            <w:pPr>
              <w:pStyle w:val="Normal"/>
              <w:suppressAutoHyphens w:val="true"/>
              <w:ind w:hanging="0" w:left="0" w:right="0"/>
              <w:rPr>
                <w:color w:val="000000"/>
                <w:highlight w:val="none"/>
                <w:shd w:fill="FFFFFF" w:val="clear"/>
              </w:rPr>
            </w:pPr>
            <w:r>
              <w:rPr>
                <w:color w:val="000000"/>
                <w:shd w:fill="FFFFFF" w:val="clear"/>
              </w:rPr>
              <w:t>Identificar en la pluralidad de saberes la diversidad de los estudiantes para diseñar propuestas educativas inclusivas.</w:t>
            </w:r>
          </w:p>
          <w:p>
            <w:pPr>
              <w:pStyle w:val="Normal"/>
              <w:suppressAutoHyphens w:val="true"/>
              <w:ind w:hanging="0" w:left="0" w:right="0"/>
              <w:rPr/>
            </w:pPr>
            <w:r>
              <w:rPr/>
            </w:r>
          </w:p>
          <w:p>
            <w:pPr>
              <w:pStyle w:val="Normal"/>
              <w:suppressAutoHyphens w:val="true"/>
              <w:ind w:hanging="0" w:left="0" w:right="0"/>
              <w:rPr>
                <w:rFonts w:eastAsia="Calibri" w:cs="Calibri"/>
                <w:b w:val="false"/>
                <w:i w:val="false"/>
                <w:i w:val="false"/>
                <w:caps w:val="false"/>
                <w:smallCaps w:val="false"/>
                <w:strike w:val="false"/>
                <w:dstrike w:val="false"/>
                <w:position w:val="0"/>
                <w:sz w:val="20"/>
                <w:sz w:val="20"/>
                <w:u w:val="none"/>
                <w:shd w:fill="auto" w:val="clear"/>
                <w:vertAlign w:val="baseline"/>
              </w:rPr>
            </w:pPr>
            <w:r>
              <w:rPr>
                <w:rFonts w:eastAsia="Calibri" w:cs="Calibri"/>
                <w:b w:val="false"/>
                <w:i w:val="false"/>
                <w:caps w:val="false"/>
                <w:smallCaps w:val="false"/>
                <w:strike w:val="false"/>
                <w:dstrike w:val="false"/>
                <w:position w:val="0"/>
                <w:sz w:val="20"/>
                <w:sz w:val="20"/>
                <w:u w:val="none"/>
                <w:shd w:fill="auto" w:val="clear"/>
                <w:vertAlign w:val="baseline"/>
              </w:rPr>
            </w:r>
          </w:p>
          <w:p>
            <w:pPr>
              <w:pStyle w:val="normal1"/>
              <w:widowControl/>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
              <w:widowControl/>
              <w:suppressAutoHyphens w:val="true"/>
              <w:spacing w:before="0" w:after="0"/>
              <w:jc w:val="both"/>
              <w:rPr>
                <w:rFonts w:ascii="Calibri" w:hAnsi="Calibri" w:asciiTheme="minorHAnsi" w:hAnsiTheme="minorHAnsi"/>
                <w:color w:val="000000"/>
                <w:sz w:val="22"/>
                <w:szCs w:val="22"/>
                <w:highlight w:val="none"/>
                <w:shd w:fill="FFFFFF" w:val="clear"/>
              </w:rPr>
            </w:pPr>
            <w:r>
              <w:rPr>
                <w:rFonts w:asciiTheme="minorHAnsi" w:hAnsiTheme="minorHAnsi" w:ascii="Calibri" w:hAnsi="Calibri"/>
                <w:color w:val="000000"/>
                <w:sz w:val="22"/>
                <w:szCs w:val="22"/>
                <w:shd w:fill="FFFFFF" w:val="clear"/>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1"/>
              <w:jc w:val="both"/>
              <w:rPr>
                <w:b/>
                <w:bCs/>
              </w:rPr>
            </w:pPr>
            <w:r>
              <w:rPr>
                <w:rFonts w:eastAsia="Calibri" w:cs="Calibri"/>
                <w:b/>
                <w:bCs/>
                <w:position w:val="0"/>
                <w:sz w:val="24"/>
                <w:sz w:val="24"/>
                <w:szCs w:val="22"/>
                <w:vertAlign w:val="baseline"/>
              </w:rPr>
              <w:t>Objetivo General del curso:</w:t>
            </w:r>
          </w:p>
          <w:p>
            <w:pPr>
              <w:pStyle w:val="normal1"/>
              <w:jc w:val="both"/>
              <w:rPr>
                <w:position w:val="0"/>
                <w:sz w:val="22"/>
                <w:sz w:val="22"/>
                <w:szCs w:val="22"/>
                <w:vertAlign w:val="baseline"/>
              </w:rPr>
            </w:pPr>
            <w:r>
              <w:rPr>
                <w:rFonts w:eastAsia="Calibri" w:cs="Calibri"/>
                <w:position w:val="0"/>
                <w:sz w:val="24"/>
                <w:sz w:val="24"/>
                <w:szCs w:val="22"/>
                <w:vertAlign w:val="baseline"/>
              </w:rPr>
              <w:t>Desarrollar elementos teóricos y prácticos, que fundamenten rutas metodológicas de orden pedagógico y didáctico, relacionadas con procesos de enseñanza y aprendizaje de la aritmética en contextos escolares</w:t>
            </w:r>
            <w:r>
              <w:rPr>
                <w:position w:val="0"/>
                <w:sz w:val="24"/>
                <w:sz w:val="24"/>
                <w:szCs w:val="22"/>
                <w:vertAlign w:val="baseline"/>
              </w:rPr>
              <w:t>.</w:t>
            </w:r>
          </w:p>
          <w:p>
            <w:pPr>
              <w:pStyle w:val="normal1"/>
              <w:jc w:val="both"/>
              <w:rPr>
                <w:position w:val="0"/>
                <w:sz w:val="22"/>
                <w:sz w:val="22"/>
                <w:szCs w:val="22"/>
                <w:vertAlign w:val="baseline"/>
              </w:rPr>
            </w:pPr>
            <w:r>
              <w:rPr>
                <w:position w:val="0"/>
                <w:sz w:val="22"/>
                <w:sz w:val="22"/>
                <w:szCs w:val="22"/>
                <w:vertAlign w:val="baseline"/>
              </w:rPr>
            </w:r>
          </w:p>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Objetivos específicos: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Caracterizar conceptualmente los fundamentos teóricos para el desarrollo del pensamiento numérico desde un punto de vista escolar.</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Revisar elementos conceptuales y metodológicos para la construcción del concepto de número y procesos de conteo.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diferentes tipos de problemas que contribuyen a la conceptualización del esquema aditivo y multiplicativo.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Dotar de significado las cantidades negativas y positivas de tal manera que ayuden a la comprensión de reglas procedimentales al resolver situaciones asociadas a los números enteros.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propuestas pedagógicas relacionadas con la enseñanza y aprendizaje de los números racionales desde un punto de vista escolar.</w:t>
            </w:r>
          </w:p>
          <w:p>
            <w:pPr>
              <w:pStyle w:val="normal1"/>
              <w:keepNext w:val="false"/>
              <w:keepLines w:val="false"/>
              <w:widowControl/>
              <w:numPr>
                <w:ilvl w:val="0"/>
                <w:numId w:val="3"/>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Generar procesos de reflexión desde el diseño e implementación de estrategias didácticas que vinculan actividades de enseñanza y aprendizaje para un contexto escolar específico.</w:t>
            </w:r>
          </w:p>
          <w:p>
            <w:pPr>
              <w:pStyle w:val="normal1"/>
              <w:widowControl/>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Este curso de seminario en didáctica de la aritmética hace aportes significativos a la formación integral y a la formación en investigación del futuro licenciado en matemáticas desde varias perspectivas: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**Racionalidad ética:** El curso promueve una reflexión sobre la responsabilidad ética del docente en la enseñanza de las matemáticas, al considerar cómo se abordan los conceptos y procesos numéricos en el contexto escolar. Además, al diseñar estrategias didácticas inclusivas y reflexionar sobre su implementación, se fomenta el respeto y la valoración de la diversidad de capacidades y estilos de aprendizaje de los estudiantes.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**Racionalidad política:** Al analizar los lineamientos curriculares y estándares educativos emitidos por el Ministerio de Educación Nacional, el curso permite comprender cómo las decisiones políticas influyen en la enseñanza de las matemáticas en Colombia. Esto capacita al futuro licenciado para ser un agente de cambio en el sistema educativo, abogando por prácticas pedagógicas más efectivas y relevantes.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**Racionalidad estética:** A través del análisis de diferentes enfoques epistemológicos en la construcción del pensamiento numérico, el curso invita a apreciar la belleza y la elegancia de las matemáticas. Además, al diseñar y llevar a cabo actividades de aprendizaje creativas y motivadoras, se busca cultivar en los estudiantes una apreciación por la aritmética y su relevancia en la vida cotidiana.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4. **Racionalidad lógica:** El curso proporciona una base sólida en los fundamentos teóricos y metodológicos de la aritmética, lo que contribuye al desarrollo del pensamiento lógico y crítico del futuro licenciado en matemáticas. Además, al analizar y diseñar estrategias didácticas para el desarrollo del pensamiento numérico, se fortalecen las habilidades de resolución de problemas y argumentación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En cuanto a la formación en investigación, el curso ofrece oportunidades para: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Analizar críticamente la literatura educativa relacionada con la enseñanza de la aritmética y proponer nuevas perspectivas o enfoques.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Diseñar y llevar a cabo investigaciones en el aula para evaluar la efectividad de diferentes estrategias didácticas en el desarrollo del pensamiento numérico.</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Reflexionar sobre la práctica docente y generar conocimiento práctico que pueda ser compartido con la comunidad educativa.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Desarrollar habilidades para la recopilación, análisis e interpretación de datos relacionados con el aprendizaje de la aritmética, contribuyendo así al avance del conocimiento en el campo de la educación matemática.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Eje Problémico 1</w:t>
            </w:r>
            <w:r>
              <w:rPr>
                <w:rFonts w:eastAsia="Calibri" w:cs="Calibri" w:ascii="Calibri" w:hAnsi="Calibri"/>
                <w:position w:val="0"/>
                <w:sz w:val="22"/>
                <w:sz w:val="22"/>
                <w:szCs w:val="22"/>
                <w:vertAlign w:val="baseline"/>
              </w:rPr>
              <w:t>.  Fundamentos teóricos sobre el desarrollo del pensamiento numérico en el contexto colombiano</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 ¿Cuáles son los fundamentos del desarrollo de habilidades numéricas en el currículo de las matemáticas escolares en Colombia?</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se caracteriza el pensamiento numérico en la escuela desde las propuestas curriculares del Ministerio de Educación Nacional?</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Pensamiento numérico desde los documentos rectores emanados por el Ministerio de Educación Nacional (Lineamientos curriculares, estándares básicos de competencias, Derechos básicos de aprendizaje)</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Reflexiones frente al aprendizaje del pensamiento numérico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enseñanza del pensamiento numérico en la educación obligatoria</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2. </w:t>
            </w:r>
            <w:r>
              <w:rPr>
                <w:rFonts w:eastAsia="Calibri" w:cs="Calibri" w:ascii="Calibri" w:hAnsi="Calibri"/>
                <w:position w:val="0"/>
                <w:sz w:val="22"/>
                <w:sz w:val="22"/>
                <w:szCs w:val="22"/>
                <w:vertAlign w:val="baseline"/>
              </w:rPr>
              <w:t>Concepto de número y procesos de conteo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 ¿Cómo influyen diferentes enfoques epistemológicos en la construcción del concepto de número?</w:t>
            </w:r>
          </w:p>
          <w:p>
            <w:pPr>
              <w:pStyle w:val="normal1"/>
              <w:keepNext w:val="false"/>
              <w:keepLines w:val="false"/>
              <w:widowControl/>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Construcción histórica del concepto de número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Procesos de conteo y manejo del ábaco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3. </w:t>
            </w:r>
            <w:r>
              <w:rPr>
                <w:rFonts w:eastAsia="Calibri" w:cs="Calibri" w:ascii="Calibri" w:hAnsi="Calibri"/>
                <w:position w:val="0"/>
                <w:sz w:val="22"/>
                <w:sz w:val="22"/>
                <w:szCs w:val="22"/>
                <w:vertAlign w:val="baseline"/>
              </w:rPr>
              <w:t>Aspectos conceptuales y metodológicos para desarrollar el esquema aditivo y esquema multiplicativo en la escuela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aditivo?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multiplicativo?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didácticas para desarrollar el esquema aditivo y multiplicativo.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4.  </w:t>
            </w:r>
            <w:r>
              <w:rPr>
                <w:rFonts w:eastAsia="Calibri" w:cs="Calibri" w:ascii="Calibri" w:hAnsi="Calibri"/>
                <w:position w:val="0"/>
                <w:sz w:val="22"/>
                <w:sz w:val="22"/>
                <w:szCs w:val="22"/>
                <w:vertAlign w:val="baseline"/>
              </w:rPr>
              <w:t>Los números enteros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los elementos básicos desde un punto de vista conceptual que pueden orientar significados de los enteros desde situaciones escolares?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Significados de los números enteros y estrategias de enseñanza en el aula.</w:t>
            </w:r>
          </w:p>
          <w:p>
            <w:pPr>
              <w:pStyle w:val="normal1"/>
              <w:keepNext w:val="false"/>
              <w:keepLines w:val="false"/>
              <w:widowControl/>
              <w:shd w:val="clear" w:fill="auto"/>
              <w:spacing w:lineRule="auto" w:line="240" w:before="0" w:after="0"/>
              <w:ind w:hanging="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5.  </w:t>
            </w:r>
            <w:r>
              <w:rPr>
                <w:rFonts w:eastAsia="Calibri" w:cs="Calibri" w:ascii="Calibri" w:hAnsi="Calibri"/>
                <w:position w:val="0"/>
                <w:sz w:val="22"/>
                <w:sz w:val="22"/>
                <w:szCs w:val="22"/>
                <w:vertAlign w:val="baseline"/>
              </w:rPr>
              <w:t>Números racionales, razones y proporciones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¿Qué conexión tienen los contextos de medida con las relaciones y procedimientos asociados a la resolución de problemas en contextos de los números racionales?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pasar del esquema multiplicativo a la solución de situaciones que desarrollen razonamiento proporcional?</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Conceptualización del número racional.</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para la enseñanza en el aula de las diferentes representaciones del conjunto numérico: fracción, porcentaje, decimal y gráfico.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Eje Problémico 6.  </w:t>
            </w:r>
            <w:r>
              <w:rPr>
                <w:rFonts w:eastAsia="Calibri" w:cs="Calibri" w:ascii="Calibri" w:hAnsi="Calibri"/>
                <w:position w:val="0"/>
                <w:sz w:val="22"/>
                <w:sz w:val="22"/>
                <w:szCs w:val="22"/>
                <w:vertAlign w:val="baseline"/>
              </w:rPr>
              <w:t>Análisis y reflexión a partir del diseño e implementación de actividades de aprendizaje</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articular elementos pedagógicos y didácticos en el diseño de situaciones de aprendizaje en torno al pensamiento numérico escolar?</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keepNext w:val="false"/>
              <w:keepLines w:val="false"/>
              <w:widowControl/>
              <w:numPr>
                <w:ilvl w:val="0"/>
                <w:numId w:val="4"/>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4"/>
                <w:sz w:val="24"/>
                <w:u w:val="none"/>
                <w:shd w:fill="auto" w:val="clear"/>
                <w:vertAlign w:val="baseline"/>
              </w:rPr>
              <w:t>Diseño, implementación y reflexión de una práctica relacionada con el pensamiento numérico en la escuela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1 (primer mes de clase)</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asistencia, atención y participación, quiz y un parcial</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2 (Segundo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3 (Tercer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4 (Cuarto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eastAsia="Times New Roman" w:cs="Calibri" w:asciiTheme="minorHAnsi" w:cstheme="minorHAnsi" w:hAnsiTheme="minorHAnsi"/>
                <w:kern w:val="0"/>
                <w:sz w:val="22"/>
                <w:szCs w:val="22"/>
                <w:shd w:fill="1E1E1E" w:val="clear"/>
                <w:lang w:val="es-ES" w:eastAsia="es-ES" w:bidi="ar-SA"/>
              </w:rPr>
            </w:pPr>
            <w:r>
              <w:rPr>
                <w:rFonts w:eastAsia="Times New Roman" w:cs="Calibri" w:ascii="Calibri" w:hAnsi="Calibri" w:cstheme="minorHAnsi"/>
                <w:color w:val="D4D4D4"/>
                <w:kern w:val="0"/>
                <w:sz w:val="22"/>
                <w:szCs w:val="22"/>
                <w:shd w:fill="1E1E1E" w:val="clear"/>
                <w:lang w:val="es-ES" w:eastAsia="es-ES" w:bidi="ar-SA"/>
              </w:rPr>
              <w:t xml:space="preserve">Aylwin, C. U. (2011). Lógica, conjuntos y números. </w:t>
            </w:r>
            <w:r>
              <w:rPr>
                <w:rFonts w:eastAsia="Times New Roman" w:cs="Calibri" w:ascii="Calibri" w:hAnsi="Calibri" w:cstheme="minorHAnsi"/>
                <w:i/>
                <w:color w:val="D4D4D4"/>
                <w:kern w:val="0"/>
                <w:sz w:val="22"/>
                <w:szCs w:val="22"/>
                <w:shd w:fill="1E1E1E" w:val="clear"/>
                <w:lang w:val="es-ES" w:eastAsia="es-ES" w:bidi="ar-SA"/>
              </w:rPr>
              <w:t>Universidad de los Andes, Consejo de Publicaciones, Colección: Ciencias Básicas, Serie: Matemáticas</w:t>
            </w:r>
            <w:r>
              <w:rPr>
                <w:rFonts w:eastAsia="Times New Roman" w:cs="Calibri" w:ascii="Calibri" w:hAnsi="Calibri" w:cstheme="minorHAnsi"/>
                <w:color w:val="D4D4D4"/>
                <w:kern w:val="0"/>
                <w:sz w:val="22"/>
                <w:szCs w:val="22"/>
                <w:shd w:fill="1E1E1E" w:val="clear"/>
                <w:lang w:val="es-ES" w:eastAsia="es-ES" w:bidi="ar-SA"/>
              </w:rPr>
              <w:t>.</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p>
  </w:footnote>
  <w:footnote w:id="3">
    <w:p>
      <w:pPr>
        <w:pStyle w:val="FootnoteText"/>
        <w:jc w:val="both"/>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1"/>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p>
  </w:footnote>
  <w:footnote w:id="8">
    <w:p>
      <w:pPr>
        <w:pStyle w:val="FootnoteText"/>
        <w:jc w:val="both"/>
        <w:rPr/>
      </w:pPr>
      <w:r>
        <w:rPr>
          <w:rStyle w:val="FootnoteCharacters1"/>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normal1">
    <w:name w:val="normal1"/>
    <w:qFormat/>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Application>LibreOffice/24.2.5.2$Linux_X86_64 LibreOffice_project/d6e8b0f3fc6e8af2b00cf4969fd0d2fa45b9a62e</Application>
  <AppVersion>15.0000</AppVersion>
  <Pages>8</Pages>
  <Words>2478</Words>
  <Characters>14867</Characters>
  <CharactersWithSpaces>17247</CharactersWithSpaces>
  <Paragraphs>167</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2024-07-22T10:36:56Z</dcterms:modified>
  <cp:revision>16</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