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Pr>
      <w:tblGrid>
        <w:gridCol w:w="1416"/>
        <w:gridCol w:w="9068"/>
      </w:tblGrid>
      <w:tr>
        <w:trPr>
          <w:trHeight w:val="981" w:hRule="atLeast"/>
          <w:cantSplit w:val="true"/>
        </w:trPr>
        <w:tc>
          <w:tcPr>
            <w:tcW w:w="14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90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sz w:val="10"/>
        </w:rPr>
      </w:pPr>
      <w:r>
        <w:rPr>
          <w:rFonts w:ascii="Calibri" w:hAnsi="Calibri"/>
          <w:sz w:val="10"/>
        </w:rPr>
      </w:r>
    </w:p>
    <w:p>
      <w:pPr>
        <w:pStyle w:val="Normal"/>
        <w:jc w:val="both"/>
        <w:rPr>
          <w:rFonts w:ascii="Calibri" w:hAnsi="Calibri"/>
          <w:sz w:val="10"/>
        </w:rPr>
      </w:pPr>
      <w:r>
        <w:rPr>
          <w:rFonts w:ascii="Calibri" w:hAnsi="Calibri"/>
          <w:sz w:val="10"/>
        </w:rPr>
      </w:r>
    </w:p>
    <w:tbl>
      <w:tblPr>
        <w:tblW w:w="10495" w:type="dxa"/>
        <w:jc w:val="left"/>
        <w:tblInd w:w="-236" w:type="dxa"/>
        <w:tblLayout w:type="fixed"/>
        <w:tblCellMar>
          <w:top w:w="0" w:type="dxa"/>
          <w:left w:w="108" w:type="dxa"/>
          <w:bottom w:w="0" w:type="dxa"/>
          <w:right w:w="108" w:type="dxa"/>
        </w:tblCellMar>
      </w:tblPr>
      <w:tblGrid>
        <w:gridCol w:w="1422"/>
        <w:gridCol w:w="1132"/>
        <w:gridCol w:w="1250"/>
        <w:gridCol w:w="1443"/>
        <w:gridCol w:w="287"/>
        <w:gridCol w:w="51"/>
        <w:gridCol w:w="1931"/>
        <w:gridCol w:w="2978"/>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INFORMACIÓN GENERAL</w:t>
            </w:r>
          </w:p>
        </w:tc>
      </w:tr>
      <w:tr>
        <w:trPr>
          <w:trHeight w:val="510" w:hRule="atLeast"/>
        </w:trPr>
        <w:tc>
          <w:tcPr>
            <w:tcW w:w="2554"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Nombre del curso:</w:t>
            </w:r>
          </w:p>
        </w:tc>
        <w:tc>
          <w:tcPr>
            <w:tcW w:w="7940"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kern w:val="0"/>
                <w:szCs w:val="20"/>
                <w:lang w:val="es-ES" w:eastAsia="es-ES" w:bidi="ar-SA"/>
              </w:rPr>
              <w:t>Desarrollo del pensamiento matemático en la infancia</w:t>
            </w:r>
          </w:p>
        </w:tc>
      </w:tr>
      <w:tr>
        <w:trPr>
          <w:trHeight w:val="510" w:hRule="atLeast"/>
        </w:trPr>
        <w:tc>
          <w:tcPr>
            <w:tcW w:w="3804" w:type="dxa"/>
            <w:gridSpan w:val="3"/>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 académico al que pertenece:</w:t>
            </w:r>
          </w:p>
        </w:tc>
        <w:tc>
          <w:tcPr>
            <w:tcW w:w="6690"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eastAsia="Times New Roman" w:cs="Times New Roman"/>
                <w:kern w:val="0"/>
                <w:szCs w:val="20"/>
                <w:lang w:val="es-ES" w:eastAsia="es-ES" w:bidi="ar-SA"/>
              </w:rPr>
              <w:t>Licenciatura en pedagogía infantil</w:t>
            </w:r>
            <w:sdt>
              <w:sdtPr>
                <w:id w:val="-1962957546"/>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r>
              </w:sdtContent>
            </w:sdt>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r>
              <w:rPr>
                <w:rFonts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Programa(s) académico(s) en los cuales se ofrece el curso:</w:t>
            </w:r>
          </w:p>
        </w:tc>
        <w:tc>
          <w:tcPr>
            <w:tcW w:w="4960" w:type="dxa"/>
            <w:gridSpan w:val="3"/>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0"/>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Licenciatura en educación infantil</w:t>
                </w:r>
              </w:sdtContent>
            </w:sdt>
          </w:p>
        </w:tc>
      </w:tr>
      <w:tr>
        <w:trPr>
          <w:trHeight w:val="510" w:hRule="atLeast"/>
        </w:trPr>
        <w:tc>
          <w:tcPr>
            <w:tcW w:w="1422"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Vigencia:</w:t>
            </w:r>
          </w:p>
        </w:tc>
        <w:tc>
          <w:tcPr>
            <w:tcW w:w="4163" w:type="dxa"/>
            <w:gridSpan w:val="5"/>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2024-2, 2025-1</w:t>
                </w:r>
              </w:sdtContent>
            </w:sdt>
          </w:p>
        </w:tc>
        <w:tc>
          <w:tcPr>
            <w:tcW w:w="1931" w:type="dxa"/>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Código curso:</w:t>
            </w:r>
          </w:p>
        </w:tc>
        <w:tc>
          <w:tcPr>
            <w:tcW w:w="2978" w:type="dxa"/>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
                <w:r>
                  <w:rPr/>
                </w:r>
              </w:sdtContent>
            </w:sdt>
            <w:r>
              <w:rPr>
                <w:rFonts w:eastAsia="Times New Roman" w:cs="Times New Roman"/>
                <w:kern w:val="0"/>
                <w:szCs w:val="20"/>
                <w:lang w:val="es-ES" w:eastAsia="es-ES" w:bidi="ar-SA"/>
              </w:rPr>
              <w:t>2097503.</w:t>
            </w:r>
          </w:p>
        </w:tc>
      </w:tr>
      <w:tr>
        <w:trPr>
          <w:trHeight w:val="926" w:hRule="atLeast"/>
        </w:trPr>
        <w:tc>
          <w:tcPr>
            <w:tcW w:w="2554" w:type="dxa"/>
            <w:gridSpan w:val="2"/>
            <w:tcBorders>
              <w:top w:val="single" w:sz="4" w:space="0" w:color="7F7F7F"/>
              <w:left w:val="single" w:sz="4" w:space="0" w:color="7F7F7F"/>
              <w:bottom w:val="single" w:sz="4" w:space="0" w:color="404040"/>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Tipo de curso:</w:t>
            </w:r>
          </w:p>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2"/>
                <w:lang w:val="es-ES" w:eastAsia="es-ES" w:bidi="ar-SA"/>
              </w:rPr>
              <w:t xml:space="preserve">  </w:t>
            </w:r>
            <w:sdt>
              <w:sdtP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sdtContent>
            </w:sdt>
          </w:p>
        </w:tc>
        <w:tc>
          <w:tcPr>
            <w:tcW w:w="3031" w:type="dxa"/>
            <w:gridSpan w:val="4"/>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Profesional</w:t>
                </w:r>
              </w:sdtContent>
            </w:sdt>
          </w:p>
          <w:p>
            <w:pPr>
              <w:pStyle w:val="Normal"/>
              <w:widowControl/>
              <w:suppressAutoHyphens w:val="true"/>
              <w:spacing w:before="0" w:after="0"/>
              <w:contextualSpacing/>
              <w:jc w:val="left"/>
              <w:rPr>
                <w:rFonts w:ascii="Calibri" w:hAnsi="Calibri"/>
              </w:rPr>
            </w:pPr>
            <w:r>
              <w:rPr>
                <w:rFonts w:eastAsia="Times New Roman" w:cs="Times New Roman" w:ascii="Calibri" w:hAnsi="Calibri"/>
                <w:kern w:val="0"/>
                <w:sz w:val="22"/>
                <w:szCs w:val="20"/>
                <w:lang w:val="es-ES" w:eastAsia="es-ES" w:bidi="ar-SA"/>
              </w:rPr>
              <w:br/>
            </w:r>
            <w:sd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En caso de elegir “Otro”, indique cuál. </w:t>
                </w:r>
              </w:sdtContent>
            </w:sdt>
          </w:p>
          <w:p>
            <w:pPr>
              <w:pStyle w:val="Normal"/>
              <w:widowControl/>
              <w:suppressAutoHyphens w:val="true"/>
              <w:spacing w:before="0" w:after="160"/>
              <w:contextualSpacing/>
              <w:jc w:val="left"/>
              <w:rPr>
                <w:rFonts w:ascii="Calibri" w:hAnsi="Calibri" w:eastAsia="Calibri" w:cs="Calibri"/>
                <w:b/>
                <w:bCs/>
                <w:color w:themeColor="dark1" w:val="000000"/>
                <w:sz w:val="20"/>
                <w:lang w:val="es-CO"/>
              </w:rPr>
            </w:pPr>
            <w:r>
              <w:rPr>
                <w:rFonts w:eastAsia="Calibri" w:cs="Calibri" w:ascii="Calibri" w:hAnsi="Calibri"/>
                <w:b/>
                <w:bCs/>
                <w:color w:themeColor="dark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light1" w:themeShade="80" w:val="808080"/>
                    <w:kern w:val="0"/>
                    <w:sz w:val="20"/>
                    <w:szCs w:val="20"/>
                    <w:lang w:val="es-ES" w:eastAsia="es-ES" w:bidi="ar-SA"/>
                  </w:rPr>
                  <w:t>Elija un elemento.</w:t>
                </w:r>
              </w:sdtContent>
            </w:sdt>
          </w:p>
          <w:p>
            <w:pPr>
              <w:pStyle w:val="Normal"/>
              <w:widowControl/>
              <w:suppressAutoHyphens w:val="true"/>
              <w:spacing w:before="0" w:after="0"/>
              <w:jc w:val="left"/>
              <w:rPr>
                <w:rFonts w:ascii="Calibri" w:hAnsi="Calibri"/>
                <w:sz w:val="22"/>
                <w:szCs w:val="22"/>
              </w:rPr>
            </w:pPr>
            <w:sdt>
              <w:sdtPr>
                <w:id w:val="17920583"/>
              </w:sdtPr>
              <w:sdtContent>
                <w:r>
                  <w:rPr>
                    <w:rFonts w:eastAsia="Times New Roman" w:cs="Times New Roman" w:ascii="Calibri" w:hAnsi="Calibri"/>
                    <w:color w:themeColor="light1" w:themeShade="80" w:val="808080"/>
                    <w:kern w:val="0"/>
                    <w:sz w:val="20"/>
                    <w:szCs w:val="20"/>
                    <w:lang w:val="es-ES" w:eastAsia="es-ES" w:bidi="ar-SA"/>
                  </w:rPr>
                </w:r>
                <w:r>
                  <w:rPr>
                    <w:rFonts w:eastAsia="Times New Roman" w:cs="Times New Roman" w:ascii="Calibri" w:hAnsi="Calibri"/>
                    <w:color w:themeColor="light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rPr>
            </w:pPr>
            <w:r>
              <w:rPr>
                <w:rFonts w:eastAsia="Times New Roman" w:cs="Times New Roman" w:ascii="Calibri" w:hAnsi="Calibr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rPr>
            </w:pPr>
            <w:r>
              <w:rPr>
                <w:rFonts w:ascii="Calibri" w:hAnsi="Calibri"/>
              </w:rPr>
            </w:r>
          </w:p>
        </w:tc>
      </w:tr>
      <w:tr>
        <w:trPr>
          <w:trHeight w:val="510" w:hRule="atLeast"/>
        </w:trPr>
        <w:tc>
          <w:tcPr>
            <w:tcW w:w="2554"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40"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Prerrequisitos con nombre y código en MARES.</w:t>
                </w:r>
              </w:sdtContent>
            </w:sdt>
          </w:p>
        </w:tc>
      </w:tr>
      <w:tr>
        <w:trPr>
          <w:trHeight w:val="510" w:hRule="atLeast"/>
        </w:trPr>
        <w:tc>
          <w:tcPr>
            <w:tcW w:w="2554" w:type="dxa"/>
            <w:gridSpan w:val="2"/>
            <w:tcBorders>
              <w:top w:val="single" w:sz="4" w:space="0" w:color="7F7F7F"/>
              <w:left w:val="single" w:sz="4" w:space="0" w:color="7F7F7F"/>
              <w:bottom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40" w:type="dxa"/>
            <w:gridSpan w:val="6"/>
            <w:tcBorders>
              <w:top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sdt>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id w:val="-2032248436"/>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3</w:t>
                </w:r>
              </w:sdtContent>
            </w:sdt>
          </w:p>
        </w:tc>
      </w:tr>
      <w:tr>
        <w:trPr>
          <w:trHeight w:val="510" w:hRule="atLeast"/>
        </w:trPr>
        <w:tc>
          <w:tcPr>
            <w:tcW w:w="5247"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kern w:val="0"/>
                <w:szCs w:val="20"/>
                <w:lang w:val="es-ES" w:eastAsia="es-ES" w:bidi="ar-SA"/>
              </w:rPr>
              <w:t xml:space="preserve"> </w:t>
            </w:r>
            <w:sdt>
              <w:sdtPr>
                <w:id w:val="-2119747275"/>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80</w:t>
                </w:r>
              </w:sdtContent>
            </w:sdt>
          </w:p>
        </w:tc>
        <w:tc>
          <w:tcPr>
            <w:tcW w:w="5247"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64</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kern w:val="0"/>
                <w:szCs w:val="20"/>
                <w:lang w:val="es-ES" w:eastAsia="es-ES" w:bidi="ar-SA"/>
              </w:rPr>
              <w:t xml:space="preserve"> </w:t>
            </w:r>
            <w:sdt>
              <w:sdtPr>
                <w:id w:val="-876316229"/>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144</w:t>
                </w:r>
                <w:r>
                  <w:rPr>
                    <w:rFonts w:eastAsia="Times New Roman" w:cs="Times New Roman" w:ascii="Calibri" w:hAnsi="Calibri"/>
                    <w:color w:themeColor="light1" w:themeShade="80" w:val="808080"/>
                    <w:kern w:val="0"/>
                    <w:sz w:val="20"/>
                    <w:szCs w:val="20"/>
                    <w:lang w:val="es-ES" w:eastAsia="es-ES" w:bidi="ar-SA"/>
                  </w:rPr>
                </w:r>
              </w:sdtContent>
            </w:sdt>
          </w:p>
        </w:tc>
      </w:tr>
      <w:tr>
        <w:trPr>
          <w:trHeight w:val="510" w:hRule="atLeast"/>
        </w:trPr>
        <w:tc>
          <w:tcPr>
            <w:tcW w:w="5247"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kern w:val="0"/>
                <w:szCs w:val="20"/>
                <w:lang w:val="es-ES" w:eastAsia="es-ES" w:bidi="ar-SA"/>
              </w:rPr>
              <w:t xml:space="preserve"> </w:t>
            </w:r>
            <w:sdt>
              <w:sdtPr>
                <w:id w:val="1265809342"/>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80</w:t>
                </w:r>
              </w:sdtContent>
            </w:sdt>
          </w:p>
        </w:tc>
        <w:tc>
          <w:tcPr>
            <w:tcW w:w="5247" w:type="dxa"/>
            <w:gridSpan w:val="4"/>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rPr>
            </w:pPr>
            <w:sd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kern w:val="0"/>
                <w:szCs w:val="20"/>
                <w:lang w:val="es-ES" w:eastAsia="es-ES" w:bidi="ar-SA"/>
              </w:rPr>
              <w:t xml:space="preserve"> </w:t>
            </w:r>
            <w:sdt>
              <w:sdtPr>
                <w:id w:val="1788384500"/>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80</w:t>
                </w:r>
                <w:r>
                  <w:rPr>
                    <w:rStyle w:val="PlaceholderText"/>
                    <w:rFonts w:eastAsia="Times New Roman" w:cs="Times New Roman" w:ascii="Calibri" w:hAnsi="Calibri"/>
                    <w:kern w:val="0"/>
                    <w:sz w:val="20"/>
                    <w:szCs w:val="20"/>
                    <w:lang w:val="es-ES" w:eastAsia="es-ES" w:bidi="ar-SA"/>
                  </w:rPr>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cs="Calibri"/>
                <w:b/>
                <w:sz w:val="22"/>
                <w:szCs w:val="22"/>
              </w:rPr>
            </w:pPr>
            <w:r>
              <w:rPr>
                <w:rFonts w:eastAsia="Times New Roman" w:cs="Calibri" w:ascii="Calibri" w:hAnsi="Calibr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b w:val="false"/>
                <w:bCs w:val="false"/>
              </w:rPr>
            </w:pPr>
            <w:r>
              <w:rPr>
                <w:rFonts w:ascii="Calibri" w:hAnsi="Calibri"/>
                <w:b w:val="false"/>
                <w:bCs w:val="false"/>
                <w:sz w:val="22"/>
                <w:szCs w:val="22"/>
              </w:rPr>
              <w:t xml:space="preserve">Perfil del Licenciado en Educación Infantil  </w:t>
            </w:r>
          </w:p>
          <w:p>
            <w:pPr>
              <w:pStyle w:val="Normal"/>
              <w:widowControl/>
              <w:suppressAutoHyphens w:val="true"/>
              <w:spacing w:before="0" w:after="0"/>
              <w:jc w:val="both"/>
              <w:rPr>
                <w:b w:val="false"/>
                <w:bCs w:val="false"/>
              </w:rPr>
            </w:pPr>
            <w:r>
              <w:rPr>
                <w:b w:val="false"/>
                <w:bCs w:val="false"/>
              </w:rPr>
            </w:r>
          </w:p>
          <w:p>
            <w:pPr>
              <w:pStyle w:val="Normal"/>
              <w:widowControl/>
              <w:suppressAutoHyphens w:val="true"/>
              <w:spacing w:before="0" w:after="0"/>
              <w:jc w:val="both"/>
              <w:rPr>
                <w:b w:val="false"/>
                <w:bCs w:val="false"/>
              </w:rPr>
            </w:pPr>
            <w:r>
              <w:rPr>
                <w:rFonts w:ascii="Calibri" w:hAnsi="Calibri"/>
                <w:b w:val="false"/>
                <w:bCs w:val="false"/>
                <w:sz w:val="22"/>
                <w:szCs w:val="22"/>
              </w:rPr>
              <w:t>El perfil profesional del Licenciado en Educación Infantil de la Facultad de Educación de la Universidad de Antioquia se caracteriza por formar profesionales con un profundo compromiso social y ético, capacitados para contribuir al desarrollo integral de los niños y niñas en sus primeros años de vida. Estos licenciados son educadores con sólidos conocimientos en pedagogía, psicología infantil, y desarrollo humano, lo que les permite diseñar y ejecutar estrategias educativas que promuevan el aprendizaje y el bienestar de los niños en contextos diversos.</w:t>
            </w:r>
          </w:p>
          <w:p>
            <w:pPr>
              <w:pStyle w:val="Normal"/>
              <w:widowControl/>
              <w:suppressAutoHyphens w:val="true"/>
              <w:spacing w:before="0" w:after="0"/>
              <w:jc w:val="both"/>
              <w:rPr>
                <w:b w:val="false"/>
                <w:bCs w:val="false"/>
              </w:rPr>
            </w:pPr>
            <w:r>
              <w:rPr>
                <w:b w:val="false"/>
                <w:bCs w:val="false"/>
              </w:rPr>
            </w:r>
          </w:p>
          <w:p>
            <w:pPr>
              <w:pStyle w:val="Normal"/>
              <w:widowControl/>
              <w:suppressAutoHyphens w:val="true"/>
              <w:spacing w:before="0" w:after="0"/>
              <w:jc w:val="both"/>
              <w:rPr>
                <w:b/>
                <w:bCs/>
              </w:rPr>
            </w:pPr>
            <w:r>
              <w:rPr>
                <w:rFonts w:ascii="Calibri" w:hAnsi="Calibri"/>
                <w:b/>
                <w:bCs/>
                <w:sz w:val="22"/>
                <w:szCs w:val="22"/>
              </w:rPr>
              <w:t>Entre las competencias que desarrolla el Licenciado en Educación Infantil, se destacan:</w:t>
            </w:r>
          </w:p>
          <w:p>
            <w:pPr>
              <w:pStyle w:val="Normal"/>
              <w:widowControl/>
              <w:suppressAutoHyphens w:val="true"/>
              <w:spacing w:before="0" w:after="0"/>
              <w:jc w:val="both"/>
              <w:rPr>
                <w:b/>
                <w:bCs/>
              </w:rPr>
            </w:pPr>
            <w:r>
              <w:rPr/>
            </w:r>
          </w:p>
          <w:p>
            <w:pPr>
              <w:pStyle w:val="Normal"/>
              <w:widowControl/>
              <w:suppressAutoHyphens w:val="true"/>
              <w:spacing w:before="0" w:after="0"/>
              <w:jc w:val="both"/>
              <w:rPr>
                <w:b/>
                <w:bCs/>
              </w:rPr>
            </w:pPr>
            <w:r>
              <w:rPr>
                <w:rFonts w:ascii="Calibri" w:hAnsi="Calibri"/>
                <w:b/>
                <w:bCs/>
                <w:sz w:val="22"/>
                <w:szCs w:val="22"/>
              </w:rPr>
              <w:t>1. Conocimientos Pedagógicos y Didácticos: Los egresados están capacitados para diseñar y aplicar planes y programas educativos adecuados a las necesidades y características de los niños en edad preescolar y primaria.</w:t>
            </w:r>
          </w:p>
          <w:p>
            <w:pPr>
              <w:pStyle w:val="Normal"/>
              <w:widowControl/>
              <w:suppressAutoHyphens w:val="true"/>
              <w:spacing w:before="0" w:after="0"/>
              <w:jc w:val="both"/>
              <w:rPr>
                <w:b/>
                <w:bCs/>
              </w:rPr>
            </w:pPr>
            <w:r>
              <w:rPr/>
            </w:r>
          </w:p>
          <w:p>
            <w:pPr>
              <w:pStyle w:val="Normal"/>
              <w:widowControl/>
              <w:suppressAutoHyphens w:val="true"/>
              <w:spacing w:before="0" w:after="0"/>
              <w:jc w:val="both"/>
              <w:rPr>
                <w:b/>
                <w:bCs/>
              </w:rPr>
            </w:pPr>
            <w:r>
              <w:rPr>
                <w:rFonts w:ascii="Calibri" w:hAnsi="Calibri"/>
                <w:b/>
                <w:bCs/>
                <w:sz w:val="22"/>
                <w:szCs w:val="22"/>
              </w:rPr>
              <w:t>2. Investigación Educativa: Están preparados para realizar investigaciones educativas que permitan mejorar las prácticas pedagógicas y contribuir al conocimiento en el campo de la educación infantil, promoviendo la innovación en la enseñanza.</w:t>
            </w:r>
          </w:p>
          <w:p>
            <w:pPr>
              <w:pStyle w:val="Normal"/>
              <w:widowControl/>
              <w:suppressAutoHyphens w:val="true"/>
              <w:spacing w:before="0" w:after="0"/>
              <w:jc w:val="both"/>
              <w:rPr>
                <w:b/>
                <w:bCs/>
              </w:rPr>
            </w:pPr>
            <w:r>
              <w:rPr/>
            </w:r>
          </w:p>
          <w:p>
            <w:pPr>
              <w:pStyle w:val="Normal"/>
              <w:widowControl/>
              <w:suppressAutoHyphens w:val="true"/>
              <w:spacing w:before="0" w:after="0"/>
              <w:jc w:val="both"/>
              <w:rPr>
                <w:b/>
                <w:bCs/>
              </w:rPr>
            </w:pPr>
            <w:r>
              <w:rPr>
                <w:rFonts w:ascii="Calibri" w:hAnsi="Calibri"/>
                <w:b/>
                <w:bCs/>
                <w:sz w:val="22"/>
                <w:szCs w:val="22"/>
              </w:rPr>
              <w:t>3. Desarrollo Integral del Niño: Poseen una comprensión integral del desarrollo infantil en sus dimensiones física, cognitiva, emocional y social, lo que les permite intervenir de manera efectiva en el proceso educativo, favoreciendo un ambiente de aprendizaje seguro y estimulante.</w:t>
            </w:r>
          </w:p>
          <w:p>
            <w:pPr>
              <w:pStyle w:val="Normal"/>
              <w:widowControl/>
              <w:suppressAutoHyphens w:val="true"/>
              <w:spacing w:before="0" w:after="0"/>
              <w:jc w:val="both"/>
              <w:rPr>
                <w:b/>
                <w:bCs/>
              </w:rPr>
            </w:pPr>
            <w:r>
              <w:rPr/>
            </w:r>
          </w:p>
          <w:p>
            <w:pPr>
              <w:pStyle w:val="Normal"/>
              <w:widowControl/>
              <w:suppressAutoHyphens w:val="true"/>
              <w:spacing w:before="0" w:after="0"/>
              <w:jc w:val="both"/>
              <w:rPr>
                <w:b/>
                <w:bCs/>
              </w:rPr>
            </w:pPr>
            <w:r>
              <w:rPr>
                <w:rFonts w:ascii="Calibri" w:hAnsi="Calibri"/>
                <w:b/>
                <w:bCs/>
                <w:sz w:val="22"/>
                <w:szCs w:val="22"/>
              </w:rPr>
              <w:t>4. Compromiso con la Comunidad: El programa fomenta en sus egresados un fuerte sentido de responsabilidad social, orientándolos a trabajar en pro del desarrollo de la comunidad, especialmente en contextos vulnerables, asegurando el acceso a una educación de calidad para todos los niños.</w:t>
            </w:r>
          </w:p>
          <w:p>
            <w:pPr>
              <w:pStyle w:val="Normal"/>
              <w:widowControl/>
              <w:suppressAutoHyphens w:val="true"/>
              <w:spacing w:before="0" w:after="0"/>
              <w:jc w:val="both"/>
              <w:rPr>
                <w:b/>
                <w:bCs/>
              </w:rPr>
            </w:pPr>
            <w:r>
              <w:rPr/>
            </w:r>
          </w:p>
          <w:p>
            <w:pPr>
              <w:pStyle w:val="Normal"/>
              <w:widowControl/>
              <w:suppressAutoHyphens w:val="true"/>
              <w:spacing w:before="0" w:after="0"/>
              <w:jc w:val="both"/>
              <w:rPr>
                <w:b/>
                <w:bCs/>
              </w:rPr>
            </w:pPr>
            <w:r>
              <w:rPr>
                <w:rFonts w:ascii="Calibri" w:hAnsi="Calibri"/>
                <w:b/>
                <w:bCs/>
                <w:sz w:val="22"/>
                <w:szCs w:val="22"/>
              </w:rPr>
              <w:t>5. Uso de Tecnologías Educativas: Los licenciados están preparados para incorporar las tecnologías de la información y la comunicación (TIC) en sus prácticas pedagógicas, utilizando herramientas digitales para enriquecer el proceso de enseñanza-aprendizaje.</w:t>
            </w:r>
          </w:p>
          <w:p>
            <w:pPr>
              <w:pStyle w:val="Normal"/>
              <w:widowControl/>
              <w:suppressAutoHyphens w:val="true"/>
              <w:spacing w:before="0" w:after="0"/>
              <w:jc w:val="both"/>
              <w:rPr>
                <w:b/>
                <w:bCs/>
              </w:rPr>
            </w:pPr>
            <w:r>
              <w:rPr/>
            </w:r>
          </w:p>
          <w:p>
            <w:pPr>
              <w:pStyle w:val="Normal"/>
              <w:widowControl/>
              <w:suppressAutoHyphens w:val="true"/>
              <w:spacing w:before="0" w:after="0"/>
              <w:jc w:val="both"/>
              <w:rPr>
                <w:b w:val="false"/>
                <w:bCs w:val="false"/>
              </w:rPr>
            </w:pPr>
            <w:r>
              <w:rPr>
                <w:rFonts w:ascii="Calibri" w:hAnsi="Calibri"/>
                <w:b w:val="false"/>
                <w:bCs w:val="false"/>
                <w:sz w:val="22"/>
                <w:szCs w:val="22"/>
              </w:rPr>
              <w:t>6. Ética y Responsabilidad Profesional: Se enfatiza en la formación de educadores con altos estándares éticos y un profundo respeto por la diversidad cultural, promoviendo la inclusión y la equidad en todos los entornos educativos.</w:t>
            </w:r>
          </w:p>
          <w:p>
            <w:pPr>
              <w:pStyle w:val="Normal"/>
              <w:widowControl/>
              <w:suppressAutoHyphens w:val="true"/>
              <w:spacing w:before="0" w:after="0"/>
              <w:jc w:val="both"/>
              <w:rPr>
                <w:b/>
                <w:bCs/>
              </w:rPr>
            </w:pPr>
            <w:r>
              <w:rPr/>
            </w:r>
          </w:p>
          <w:p>
            <w:pPr>
              <w:pStyle w:val="Normal"/>
              <w:widowControl/>
              <w:suppressAutoHyphens w:val="true"/>
              <w:spacing w:before="0" w:after="0"/>
              <w:jc w:val="both"/>
              <w:rPr>
                <w:b/>
                <w:bCs/>
              </w:rPr>
            </w:pPr>
            <w:r>
              <w:rPr>
                <w:rFonts w:ascii="Calibri" w:hAnsi="Calibri"/>
                <w:b/>
                <w:bCs/>
                <w:sz w:val="22"/>
                <w:szCs w:val="22"/>
              </w:rPr>
              <w:t xml:space="preserve">Este perfil está orientado a formar educadores que no solo sean maestros en el </w:t>
            </w:r>
            <w:r>
              <w:rPr>
                <w:rFonts w:ascii="Calibri" w:hAnsi="Calibri"/>
                <w:b w:val="false"/>
                <w:bCs w:val="false"/>
                <w:sz w:val="22"/>
                <w:szCs w:val="22"/>
              </w:rPr>
              <w:t>aula, sino también líderes en la comunidad educativa, capaces de influir positivamente en la sociedad y contribuir al desarrollo del sistema educativo en Colombia y más allá.</w:t>
            </w:r>
          </w:p>
          <w:p>
            <w:pPr>
              <w:pStyle w:val="Normal"/>
              <w:widowControl/>
              <w:suppressAutoHyphens w:val="true"/>
              <w:spacing w:before="0" w:after="0"/>
              <w:jc w:val="both"/>
              <w:rPr>
                <w:b/>
                <w:bCs/>
              </w:rPr>
            </w:pPr>
            <w:r>
              <w:rPr/>
            </w:r>
          </w:p>
          <w:p>
            <w:pPr>
              <w:pStyle w:val="Normal"/>
              <w:widowControl/>
              <w:suppressAutoHyphens w:val="true"/>
              <w:spacing w:before="0" w:after="0"/>
              <w:jc w:val="both"/>
              <w:rPr>
                <w:b/>
                <w:bCs/>
              </w:rPr>
            </w:pPr>
            <w:r>
              <w:rPr>
                <w:rFonts w:ascii="Calibri" w:hAnsi="Calibri"/>
                <w:b/>
                <w:bCs/>
                <w:sz w:val="22"/>
                <w:szCs w:val="22"/>
              </w:rPr>
              <w:t xml:space="preserve">Descripción del curso de Desarrollo del Pensamiento Matemático en La Infancia y cómo este curso aporta a la consolidación de este perfil profesional. </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Este curso está diseñado para futuros licenciados en educación infantil, enfocándose en el desarrollo de competencias matemáticas desde los primeros años de vida. Utilizando un enfoque pedagógico de aula invertida, los estudiantes asumirán un rol activo y autónomo en su proceso de aprendizaje, explorando conceptos y teorías antes de las sesiones de clase, lo que permite que las reuniones presenciales se dediquen a la discusión, análisis y resolución de problemas prácticos.</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La metodología de </w:t>
            </w:r>
            <w:r>
              <w:rPr>
                <w:rFonts w:ascii="Calibri" w:hAnsi="Calibri"/>
                <w:b/>
                <w:bCs/>
                <w:sz w:val="22"/>
                <w:szCs w:val="22"/>
              </w:rPr>
              <w:t>Aprendizaje Basado en Problemas (ABP)</w:t>
            </w:r>
            <w:r>
              <w:rPr>
                <w:rFonts w:ascii="Calibri" w:hAnsi="Calibri"/>
                <w:sz w:val="22"/>
                <w:szCs w:val="22"/>
              </w:rPr>
              <w:t xml:space="preserve"> se emplea para conectar los contenidos matemáticos con la vida cotidiana, abordando problemas contextualizados en la lúdica, la vida familiar, los contextos económicos, y otros entornos aplicados. Esta aproximación permite a los futuros educadores diseñar experiencias de aprendizaje que sean relevantes y significativas para los niños, promoviendo un entendimiento profundo y duradero de las matemáticas.</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En el curso, los estudiantes también aprenderán a utilizar </w:t>
            </w:r>
            <w:r>
              <w:rPr>
                <w:rFonts w:ascii="Calibri" w:hAnsi="Calibri"/>
                <w:b/>
                <w:bCs/>
                <w:sz w:val="22"/>
                <w:szCs w:val="22"/>
              </w:rPr>
              <w:t>Python y LaTeX a través de cuadernos Jupyter</w:t>
            </w:r>
            <w:r>
              <w:rPr>
                <w:rFonts w:ascii="Calibri" w:hAnsi="Calibri"/>
                <w:sz w:val="22"/>
                <w:szCs w:val="22"/>
              </w:rPr>
              <w:t>, herramientas que no solo facilitan la enseñanza de matemáticas, sino que también los capacitan para diseñar y realizar investigaciones educativas con acceso a técnicas avanzadas como la ciencia de datos e inteligencia artificial. El dominio de estas herramientas tecnológicas les permitirá a los futuros licenciados innovar en sus prácticas pedagógicas y contribuir al avance del conocimiento en la educación infantil.</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Además, se promoverá el </w:t>
            </w:r>
            <w:r>
              <w:rPr>
                <w:rFonts w:ascii="Calibri" w:hAnsi="Calibri"/>
                <w:b/>
                <w:bCs/>
                <w:sz w:val="22"/>
                <w:szCs w:val="22"/>
              </w:rPr>
              <w:t>aprendizaje del inglés</w:t>
            </w:r>
            <w:r>
              <w:rPr>
                <w:rFonts w:ascii="Calibri" w:hAnsi="Calibri"/>
                <w:sz w:val="22"/>
                <w:szCs w:val="22"/>
              </w:rPr>
              <w:t xml:space="preserve">, un idioma fundamental para la comunicación científica y el acceso a la literatura más reciente en matemáticas y didáctica de la matemática. Al mismo tiempo, se impulsarán políticas de </w:t>
            </w:r>
            <w:r>
              <w:rPr>
                <w:rFonts w:ascii="Calibri" w:hAnsi="Calibri"/>
                <w:b/>
                <w:bCs/>
                <w:sz w:val="22"/>
                <w:szCs w:val="22"/>
              </w:rPr>
              <w:t>ciencia abierta</w:t>
            </w:r>
            <w:r>
              <w:rPr>
                <w:rFonts w:ascii="Calibri" w:hAnsi="Calibri"/>
                <w:sz w:val="22"/>
                <w:szCs w:val="22"/>
              </w:rPr>
              <w:t>, asegurando que las investigaciones en educación realizadas por los estudiantes sean replicables y accesibles para todos los colegas, promoviendo así una cultura de colaboración y transparencia en el campo educativo.</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b/>
                <w:bCs/>
              </w:rPr>
            </w:pPr>
            <w:r>
              <w:rPr>
                <w:rFonts w:ascii="Calibri" w:hAnsi="Calibri"/>
                <w:b/>
                <w:bCs/>
                <w:sz w:val="22"/>
                <w:szCs w:val="22"/>
              </w:rPr>
              <w:t>Aporte a la Consolidación del Perfil Profesional:</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t>Este curso contribuye significativamente al perfil profesional del Licenciado en Educación Infantil al desarrollar en los estudiantes las competencias necesarias para integrar la tecnología, el pensamiento crítico, y la innovación pedagógica en sus prácticas educativas. Al familiarizarse con herramientas como Python, LaTeX, y metodologías como ABP, los futuros licenciados estarán mejor equipados para enfrentar los desafíos de la enseñanza en contextos diversos y cambiantes, diseñando estrategias educativas efectivas y basadas en evidencia.</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t>El enfoque en el aprendizaje independiente, el uso del inglés como herramienta de comunicación científica, y la promoción de políticas de ciencia abierta también refuerzan su capacidad para participar activamente en la comunidad académica global, contribuyendo al desarrollo de la educación infantil tanto a nivel local como internacional.</w:t>
            </w:r>
          </w:p>
          <w:p>
            <w:pPr>
              <w:pStyle w:val="Normal"/>
              <w:widowControl/>
              <w:suppressAutoHyphens w:val="true"/>
              <w:spacing w:before="0" w:after="0"/>
              <w:jc w:val="both"/>
              <w:rPr>
                <w:rFonts w:ascii="Calibri" w:hAnsi="Calibri"/>
                <w:sz w:val="22"/>
                <w:szCs w:val="22"/>
              </w:rPr>
            </w:pPr>
            <w:r>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b/>
                <w:bCs/>
              </w:rPr>
            </w:pPr>
            <w:r>
              <w:rPr>
                <w:rFonts w:ascii="Calibri" w:hAnsi="Calibri"/>
                <w:b/>
                <w:bCs/>
                <w:sz w:val="22"/>
                <w:szCs w:val="22"/>
              </w:rPr>
              <w:t>Elementos Orientadores del Curso "Desarrollo del Pensamiento Matemático en la Infancia"</w:t>
            </w:r>
          </w:p>
          <w:p>
            <w:pPr>
              <w:pStyle w:val="Normal"/>
              <w:widowControl/>
              <w:suppressAutoHyphens w:val="true"/>
              <w:spacing w:before="0" w:after="0"/>
              <w:jc w:val="both"/>
              <w:rPr>
                <w:b/>
                <w:bCs/>
              </w:rPr>
            </w:pPr>
            <w:r>
              <w:rPr>
                <w:b/>
                <w:bCs/>
              </w:rPr>
            </w:r>
          </w:p>
          <w:p>
            <w:pPr>
              <w:pStyle w:val="Normal"/>
              <w:widowControl/>
              <w:suppressAutoHyphens w:val="true"/>
              <w:spacing w:before="0" w:after="0"/>
              <w:jc w:val="both"/>
              <w:rPr>
                <w:rFonts w:ascii="Calibri" w:hAnsi="Calibri"/>
                <w:sz w:val="22"/>
                <w:szCs w:val="22"/>
              </w:rPr>
            </w:pPr>
            <w:r>
              <w:rPr>
                <w:rFonts w:ascii="Calibri" w:hAnsi="Calibri"/>
                <w:sz w:val="22"/>
                <w:szCs w:val="22"/>
              </w:rPr>
              <w:t>Basados en el diseño curricular del programa académico de Licenciatura en Educación Infantil de la Universidad de Antioquia, los elementos orientadores del curso se estructuran en torno a los siguientes aspectos clave:</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b/>
                <w:bCs/>
              </w:rPr>
            </w:pPr>
            <w:r>
              <w:rPr>
                <w:rFonts w:ascii="Calibri" w:hAnsi="Calibri"/>
                <w:b/>
                <w:bCs/>
                <w:sz w:val="22"/>
                <w:szCs w:val="22"/>
              </w:rPr>
              <w:t>### 1. Problemas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b/>
                <w:bCs/>
                <w:sz w:val="22"/>
                <w:szCs w:val="22"/>
              </w:rPr>
              <w:t>Desafío de la Comprensión Matemática en la Infancia:**</w:t>
            </w:r>
            <w:r>
              <w:rPr>
                <w:rFonts w:ascii="Calibri" w:hAnsi="Calibri"/>
                <w:sz w:val="22"/>
                <w:szCs w:val="22"/>
              </w:rPr>
              <w:t xml:space="preserve"> Uno de los principales problemas de formación es la dificultad para que los niños comprendan conceptos abstractos en matemáticas. El curso aborda cómo los futuros licenciados pueden transformar estos conceptos en experiencias concretas y significativas para los niños.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b/>
                <w:bCs/>
                <w:sz w:val="22"/>
                <w:szCs w:val="22"/>
              </w:rPr>
              <w:t>Integración de Tecnología en la Enseñanza:</w:t>
            </w:r>
            <w:r>
              <w:rPr>
                <w:rFonts w:ascii="Calibri" w:hAnsi="Calibri"/>
                <w:sz w:val="22"/>
                <w:szCs w:val="22"/>
              </w:rPr>
              <w:t xml:space="preserve"> La incorporación de herramientas digitales y lenguajes como Python y LaTeX en la educación infantil es un desafío emergente que este curso pretende resolver al formar a los licenciados en su uso pedagógico.</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b/>
                <w:bCs/>
                <w:sz w:val="22"/>
                <w:szCs w:val="22"/>
              </w:rPr>
              <w:t>2. Propósitos de Formación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b/>
                <w:bCs/>
                <w:sz w:val="22"/>
                <w:szCs w:val="22"/>
              </w:rPr>
              <w:t>Desarrollo del Pensamiento Lógico-Matemático:</w:t>
            </w:r>
            <w:r>
              <w:rPr>
                <w:rFonts w:ascii="Calibri" w:hAnsi="Calibri"/>
                <w:sz w:val="22"/>
                <w:szCs w:val="22"/>
              </w:rPr>
              <w:t xml:space="preserve"> El curso tiene como propósito principal desarrollar en los futuros docentes la capacidad de fomentar el pensamiento lógico-matemático en los niños desde una edad temprana, utilizando metodologías innovadoras y fundamentadas en la investigación educativa.</w:t>
            </w:r>
          </w:p>
          <w:p>
            <w:pPr>
              <w:pStyle w:val="Normal"/>
              <w:widowControl/>
              <w:suppressAutoHyphens w:val="true"/>
              <w:spacing w:before="0" w:after="0"/>
              <w:jc w:val="both"/>
              <w:rPr>
                <w:rFonts w:ascii="Calibri" w:hAnsi="Calibri"/>
                <w:sz w:val="22"/>
                <w:szCs w:val="22"/>
              </w:rPr>
            </w:pPr>
            <w:r>
              <w:rPr>
                <w:rFonts w:ascii="Calibri" w:hAnsi="Calibri"/>
                <w:b/>
                <w:bCs/>
                <w:sz w:val="22"/>
                <w:szCs w:val="22"/>
              </w:rPr>
              <w:t>- Preparación para la Enseñanza Integral de las Matemáticas:</w:t>
            </w:r>
            <w:r>
              <w:rPr>
                <w:rFonts w:ascii="Calibri" w:hAnsi="Calibri"/>
                <w:sz w:val="22"/>
                <w:szCs w:val="22"/>
              </w:rPr>
              <w:t xml:space="preserve"> Formar a los licenciados para que enseñen de manera efectiva los números naturales, enteros, racionales e irracionales, sus usos y operaciones, asegurando una comprensión profunda en los niños.</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b/>
                <w:bCs/>
              </w:rPr>
            </w:pPr>
            <w:r>
              <w:rPr>
                <w:rFonts w:ascii="Calibri" w:hAnsi="Calibri"/>
                <w:b/>
                <w:bCs/>
                <w:sz w:val="22"/>
                <w:szCs w:val="22"/>
              </w:rPr>
              <w:t>3. Objetivos del Curso</w:t>
            </w:r>
          </w:p>
          <w:p>
            <w:pPr>
              <w:pStyle w:val="Normal"/>
              <w:widowControl/>
              <w:suppressAutoHyphens w:val="true"/>
              <w:spacing w:before="0" w:after="0"/>
              <w:jc w:val="both"/>
              <w:rPr>
                <w:rFonts w:ascii="Calibri" w:hAnsi="Calibri"/>
                <w:sz w:val="22"/>
                <w:szCs w:val="22"/>
              </w:rPr>
            </w:pPr>
            <w:r>
              <w:rPr>
                <w:rFonts w:ascii="Calibri" w:hAnsi="Calibri"/>
                <w:b/>
                <w:bCs/>
                <w:sz w:val="22"/>
                <w:szCs w:val="22"/>
              </w:rPr>
              <w:t>- **Fomentar la Autonomía en el Aprendizaje:**</w:t>
            </w:r>
            <w:r>
              <w:rPr>
                <w:rFonts w:ascii="Calibri" w:hAnsi="Calibri"/>
                <w:sz w:val="22"/>
                <w:szCs w:val="22"/>
              </w:rPr>
              <w:t xml:space="preserve"> Utilizando el enfoque de aula invertida, el curso busca que los estudiantes desarrollen la capacidad de aprender de manera autónoma y aplicar sus conocimientos en situaciones prácticas.</w:t>
            </w:r>
          </w:p>
          <w:p>
            <w:pPr>
              <w:pStyle w:val="Normal"/>
              <w:widowControl/>
              <w:suppressAutoHyphens w:val="true"/>
              <w:spacing w:before="0" w:after="0"/>
              <w:jc w:val="both"/>
              <w:rPr>
                <w:rFonts w:ascii="Calibri" w:hAnsi="Calibri"/>
                <w:sz w:val="22"/>
                <w:szCs w:val="22"/>
              </w:rPr>
            </w:pPr>
            <w:r>
              <w:rPr>
                <w:rFonts w:ascii="Calibri" w:hAnsi="Calibri"/>
                <w:b/>
                <w:bCs/>
                <w:sz w:val="22"/>
                <w:szCs w:val="22"/>
              </w:rPr>
              <w:t xml:space="preserve">- **Capacitar en la Metodología ABP:** </w:t>
            </w:r>
            <w:r>
              <w:rPr>
                <w:rFonts w:ascii="Calibri" w:hAnsi="Calibri"/>
                <w:sz w:val="22"/>
                <w:szCs w:val="22"/>
              </w:rPr>
              <w:t>A través del Aprendizaje Basado en Problemas (ABP), los estudiantes aprenderán a diseñar actividades que conecten los conceptos matemáticos con contextos lúdicos, familiares, económicos y aplicados.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b/>
                <w:bCs/>
                <w:sz w:val="22"/>
                <w:szCs w:val="22"/>
              </w:rPr>
              <w:t>Dominio de Herramientas Digitales para la Enseñanza:</w:t>
            </w:r>
            <w:r>
              <w:rPr>
                <w:rFonts w:ascii="Calibri" w:hAnsi="Calibri"/>
                <w:sz w:val="22"/>
                <w:szCs w:val="22"/>
              </w:rPr>
              <w:t xml:space="preserve"> Los futuros licenciados se formarán en el uso de Python y LaTeX en Jupyter notebooks, preparando a los estudiantes para integrar la tecnología en la enseñanza y la investigación educativa.</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b/>
                <w:bCs/>
              </w:rPr>
            </w:pPr>
            <w:r>
              <w:rPr>
                <w:rFonts w:ascii="Calibri" w:hAnsi="Calibri"/>
                <w:b/>
                <w:bCs/>
                <w:sz w:val="22"/>
                <w:szCs w:val="22"/>
              </w:rPr>
              <w:t>4. Capacidades y Competencias**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b/>
                <w:bCs/>
                <w:sz w:val="22"/>
                <w:szCs w:val="22"/>
              </w:rPr>
              <w:t>**Competencia en el Diseño de Estrategias Didácticas:**</w:t>
            </w:r>
            <w:r>
              <w:rPr>
                <w:rFonts w:ascii="Calibri" w:hAnsi="Calibri"/>
                <w:sz w:val="22"/>
                <w:szCs w:val="22"/>
              </w:rPr>
              <w:t xml:space="preserve"> Los licenciados desarrollarán la capacidad de diseñar estrategias didácticas efectivas y fundamentadas para la enseñanza de los números y operaciones en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b/>
                <w:bCs/>
                <w:sz w:val="22"/>
                <w:szCs w:val="22"/>
              </w:rPr>
              <w:t>**Capacidad para la Investigación Educativa:**</w:t>
            </w:r>
            <w:r>
              <w:rPr>
                <w:rFonts w:ascii="Calibri" w:hAnsi="Calibri"/>
                <w:sz w:val="22"/>
                <w:szCs w:val="22"/>
              </w:rPr>
              <w:t xml:space="preserve"> Fomentando la ciencia abierta y el uso de herramientas digitales, los estudiantes adquirirán competencias para realizar investigaciones replicables y contribuir al conocimiento en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t>- **Habilidad para la Comunicación Científica:** Se promoverá el desarrollo de habilidades en inglés, esenciales para acceder a literatura científica actual y participar en discusiones académicas internacionales.</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b/>
                <w:bCs/>
              </w:rPr>
            </w:pPr>
            <w:r>
              <w:rPr>
                <w:rFonts w:ascii="Calibri" w:hAnsi="Calibri"/>
                <w:b/>
                <w:bCs/>
                <w:sz w:val="22"/>
                <w:szCs w:val="22"/>
              </w:rPr>
              <w:t>5. Derechos Básicos de Aprendizaje (DBA)</w:t>
            </w:r>
          </w:p>
          <w:p>
            <w:pPr>
              <w:pStyle w:val="Normal"/>
              <w:widowControl/>
              <w:suppressAutoHyphens w:val="true"/>
              <w:spacing w:before="0" w:after="0"/>
              <w:jc w:val="both"/>
              <w:rPr>
                <w:rFonts w:ascii="Calibri" w:hAnsi="Calibri"/>
                <w:sz w:val="22"/>
                <w:szCs w:val="22"/>
              </w:rPr>
            </w:pPr>
            <w:r>
              <w:rPr>
                <w:rFonts w:ascii="Calibri" w:hAnsi="Calibri"/>
                <w:sz w:val="22"/>
                <w:szCs w:val="22"/>
              </w:rPr>
              <w:t>El curso se alineará con los Derechos Básicos de Aprendizaje (DBA) establecidos por el Ministerio de Educación Nacional de Colombia, asegurando que los futuros licenciados estén preparados para enseñar matemáticas desde preescolar hasta quinto de primaria, abordando los conceptos numéricos desde lo básico hasta lo avanzado.</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b/>
                <w:bCs/>
              </w:rPr>
            </w:pPr>
            <w:r>
              <w:rPr>
                <w:rFonts w:ascii="Calibri" w:hAnsi="Calibri"/>
                <w:b/>
                <w:bCs/>
                <w:sz w:val="22"/>
                <w:szCs w:val="22"/>
              </w:rPr>
              <w:t xml:space="preserve">Aporte a la Formación del Licenciado en Educación Infantil  </w:t>
            </w:r>
          </w:p>
          <w:p>
            <w:pPr>
              <w:pStyle w:val="Normal"/>
              <w:widowControl/>
              <w:suppressAutoHyphens w:val="true"/>
              <w:spacing w:before="0" w:after="0"/>
              <w:jc w:val="both"/>
              <w:rPr>
                <w:rFonts w:ascii="Calibri" w:hAnsi="Calibri"/>
                <w:sz w:val="22"/>
                <w:szCs w:val="22"/>
              </w:rPr>
            </w:pPr>
            <w:r>
              <w:rPr>
                <w:b/>
                <w:bCs/>
              </w:rPr>
            </w:r>
          </w:p>
          <w:p>
            <w:pPr>
              <w:pStyle w:val="Normal"/>
              <w:widowControl/>
              <w:suppressAutoHyphens w:val="true"/>
              <w:spacing w:before="0" w:after="0"/>
              <w:jc w:val="both"/>
              <w:rPr>
                <w:rFonts w:ascii="Calibri" w:hAnsi="Calibri"/>
                <w:sz w:val="22"/>
                <w:szCs w:val="22"/>
              </w:rPr>
            </w:pPr>
            <w:r>
              <w:rPr>
                <w:rFonts w:ascii="Calibri" w:hAnsi="Calibri"/>
                <w:sz w:val="22"/>
                <w:szCs w:val="22"/>
              </w:rPr>
              <w:t>Este curso contribuye de manera integral a la formación del Licenciado en Educación Infantil, preparándolo para enfrentar los desafíos de la enseñanza de las matemáticas en la infancia con un enfoque innovador, basado en la investigación y el uso de herramientas tecnológicas avanzadas. Además, refuerza las competencias necesarias para formar a los niños en un entorno educativo inclusivo y equitativo, con una sólida base en los principios pedagógicos y didácticos que rigen la educación infantil en Colombia.</w:t>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t>**Aportes del Curso "Desarrollo del Pensamiento Matemático en la Infancia" a la Formación Integral y a la Formación en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b/>
                <w:bCs/>
                <w:sz w:val="22"/>
                <w:szCs w:val="22"/>
              </w:rPr>
            </w:pPr>
            <w:r>
              <w:rPr>
                <w:rFonts w:ascii="Calibri" w:hAnsi="Calibri"/>
                <w:b/>
                <w:bCs/>
                <w:sz w:val="22"/>
                <w:szCs w:val="22"/>
              </w:rPr>
              <w:t>### **Aportes a la Formación Integral**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 curso "Desarrollo del Pensamiento Matemático en la Infancia" contribuye significativamente a la formación integral de los futuros licenciados en educación infantil, abordando las siguientes dimensiones: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**Racionalidad 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b/>
                <w:bCs/>
                <w:sz w:val="22"/>
                <w:szCs w:val="22"/>
              </w:rPr>
              <w:t>- **Promoción de la Inclusión y la Equidad:**</w:t>
            </w:r>
            <w:r>
              <w:rPr>
                <w:rFonts w:ascii="Calibri" w:hAnsi="Calibri"/>
                <w:sz w:val="22"/>
                <w:szCs w:val="22"/>
              </w:rPr>
              <w:t xml:space="preserve"> El curso enfatiza la necesidad de diseñar estrategias educativas que sean inclusivas y equitativas, asegurando que todos los niños, independientemente de su contexto socioeconómico o capacidades, tengan acceso a una educación de calidad en matemáticas.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**Compromiso con la Responsabilidad Social:** Al integrar problemáticas reales y contextos diversos en la enseñanza de las matemáticas, el curso fomenta en los estudiantes un sentido de responsabilidad social, preparándolos para ser educadores conscientes de su papel en la formación de ciudadanos éticos y comprometidos.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b/>
                <w:bCs/>
                <w:sz w:val="22"/>
                <w:szCs w:val="22"/>
              </w:rPr>
            </w:pPr>
            <w:r>
              <w:rPr>
                <w:rFonts w:ascii="Calibri" w:hAnsi="Calibri"/>
                <w:b/>
                <w:bCs/>
                <w:sz w:val="22"/>
                <w:szCs w:val="22"/>
              </w:rPr>
              <w:t>2. **Racionalidad Política:**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w:t>
            </w:r>
            <w:r>
              <w:rPr>
                <w:rFonts w:ascii="Calibri" w:hAnsi="Calibri"/>
                <w:b/>
                <w:bCs/>
                <w:sz w:val="22"/>
                <w:szCs w:val="22"/>
              </w:rPr>
              <w:t xml:space="preserve">*Fomento de la Democracia y la Participación:** </w:t>
            </w:r>
            <w:r>
              <w:rPr>
                <w:rFonts w:ascii="Calibri" w:hAnsi="Calibri"/>
                <w:sz w:val="22"/>
                <w:szCs w:val="22"/>
              </w:rPr>
              <w:t>El uso de metodologías como el Aprendizaje Basado en Problemas (ABP) y la ciencia abierta promueve una cultura de colaboración y participación activa, no solo en el aula, sino también en la comunidad educativa y en la sociedad en general.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b/>
                <w:bCs/>
                <w:sz w:val="22"/>
                <w:szCs w:val="22"/>
              </w:rPr>
              <w:t>**Formación de Ciudadanos Críticos:**</w:t>
            </w:r>
            <w:r>
              <w:rPr>
                <w:rFonts w:ascii="Calibri" w:hAnsi="Calibri"/>
                <w:sz w:val="22"/>
                <w:szCs w:val="22"/>
              </w:rPr>
              <w:t xml:space="preserve"> El curso busca desarrollar en los estudiantes la capacidad de cuestionar y analizar críticamente las políticas educativas y los enfoques tradicionales, preparándolos para ser agentes de cambio en el sistema educativo.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3. </w:t>
            </w:r>
            <w:r>
              <w:rPr>
                <w:rFonts w:ascii="Calibri" w:hAnsi="Calibri"/>
                <w:b/>
                <w:bCs/>
                <w:sz w:val="22"/>
                <w:szCs w:val="22"/>
              </w:rPr>
              <w:t>**Racionalidad Estética:**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b/>
                <w:bCs/>
                <w:sz w:val="22"/>
                <w:szCs w:val="22"/>
              </w:rPr>
              <w:t>**Creatividad en el Diseño Pedagógico:**</w:t>
            </w:r>
            <w:r>
              <w:rPr>
                <w:rFonts w:ascii="Calibri" w:hAnsi="Calibri"/>
                <w:sz w:val="22"/>
                <w:szCs w:val="22"/>
              </w:rPr>
              <w:t xml:space="preserve"> Al utilizar enfoques lúdicos y metodologías innovadoras, el curso fomenta la creatividad en el diseño de experiencias de aprendizaje, permitiendo a los futuros licenciados crear ambientes de enseñanza atractivos y estimulantes para los niños.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w:t>
            </w:r>
            <w:r>
              <w:rPr>
                <w:rFonts w:ascii="Calibri" w:hAnsi="Calibri"/>
                <w:b/>
                <w:bCs/>
                <w:sz w:val="22"/>
                <w:szCs w:val="22"/>
              </w:rPr>
              <w:t xml:space="preserve">*Apreciación de la Belleza Matemática:** </w:t>
            </w:r>
            <w:r>
              <w:rPr>
                <w:rFonts w:ascii="Calibri" w:hAnsi="Calibri"/>
                <w:sz w:val="22"/>
                <w:szCs w:val="22"/>
              </w:rPr>
              <w:t>A través del estudio de los números y sus aplicaciones, el curso invita a los estudiantes a apreciar la belleza inherente a las matemáticas, transmitiendo esta apreciación a los niños para que vean las matemáticas no solo como una disciplina académica, sino como una forma de entender y disfrutar el mundo.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b/>
                <w:bCs/>
                <w:sz w:val="22"/>
                <w:szCs w:val="22"/>
              </w:rPr>
            </w:pPr>
            <w:r>
              <w:rPr>
                <w:rFonts w:ascii="Calibri" w:hAnsi="Calibri"/>
                <w:b/>
                <w:bCs/>
                <w:sz w:val="22"/>
                <w:szCs w:val="22"/>
              </w:rPr>
              <w:t>4. **Racionalidad Lógica:**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w:t>
            </w:r>
            <w:r>
              <w:rPr>
                <w:rFonts w:ascii="Calibri" w:hAnsi="Calibri"/>
                <w:b/>
                <w:bCs/>
                <w:sz w:val="22"/>
                <w:szCs w:val="22"/>
              </w:rPr>
              <w:t>*Desarrollo del Pensamiento Crítico:**</w:t>
            </w:r>
            <w:r>
              <w:rPr>
                <w:rFonts w:ascii="Calibri" w:hAnsi="Calibri"/>
                <w:sz w:val="22"/>
                <w:szCs w:val="22"/>
              </w:rPr>
              <w:t xml:space="preserve"> El curso enfatiza el desarrollo de habilidades de pensamiento lógico y crítico, tanto en los futuros licenciados como en los niños que ellos educarán. Esto se logra mediante la enseñanza de la lógica matemática, la resolución de problemas, y el uso de herramientas como Python y LaTeX.</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b/>
                <w:bCs/>
                <w:sz w:val="22"/>
                <w:szCs w:val="22"/>
              </w:rPr>
              <w:t xml:space="preserve">**Fundamentación Metodológica:** </w:t>
            </w:r>
            <w:r>
              <w:rPr>
                <w:rFonts w:ascii="Calibri" w:hAnsi="Calibri"/>
                <w:sz w:val="22"/>
                <w:szCs w:val="22"/>
              </w:rPr>
              <w:t>Los estudiantes aprenden a construir y justificar argumentos sólidos, basados en principios lógicos y metodológicos, lo que refuerza su capacidad para enseñar y para realizar investigaciones educativas de alta calidad.</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b/>
                <w:bCs/>
                <w:sz w:val="22"/>
                <w:szCs w:val="22"/>
              </w:rPr>
            </w:pPr>
            <w:r>
              <w:rPr>
                <w:rFonts w:ascii="Calibri" w:hAnsi="Calibri"/>
                <w:b/>
                <w:bCs/>
                <w:sz w:val="22"/>
                <w:szCs w:val="22"/>
              </w:rPr>
              <w:t>### **Aportes a la Formación en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El curso también realiza aportes fundamentales a la formación en investigación de los futuros licenciados: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**Intencionalidades Formativas en Investigación:**</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**Promoción de la Ciencia Abierta:** Se enseña a los estudiantes la importancia de la ciencia abierta, incentivándolos a realizar investigaciones replicables y accesibles, contribuyendo al conocimiento colectivo y fomentando una cultura de transparencia y colaboración en la investigación educativa.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**Desarrollo de Habilidades Investigativas:** Los estudiantes adquieren competencias en el diseño y ejecución de investigaciones educativas utilizando Python y LaTeX, herramientas que les permiten analizar datos, modelar problemas y presentar sus resultados de manera clara y profesional.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b/>
                <w:bCs/>
                <w:sz w:val="22"/>
                <w:szCs w:val="22"/>
              </w:rPr>
            </w:pPr>
            <w:r>
              <w:rPr>
                <w:rFonts w:ascii="Calibri" w:hAnsi="Calibri"/>
                <w:b/>
                <w:bCs/>
                <w:sz w:val="22"/>
                <w:szCs w:val="22"/>
              </w:rPr>
              <w:t>2. **Abordaje de Conocimientos y Saberes:**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b/>
                <w:bCs/>
                <w:sz w:val="22"/>
                <w:szCs w:val="22"/>
              </w:rPr>
              <w:t>**Integración de Herramientas Digitales en la Investigación:**</w:t>
            </w:r>
            <w:r>
              <w:rPr>
                <w:rFonts w:ascii="Calibri" w:hAnsi="Calibri"/>
                <w:sz w:val="22"/>
                <w:szCs w:val="22"/>
              </w:rPr>
              <w:t xml:space="preserve"> El curso introduce a los estudiantes en el uso de tecnologías avanzadas para la recolección, análisis y visualización de datos, capacitándolos para realizar investigaciones rigurosas y basadas en evidencia en el ámbito de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**Investigación Contextualizada y Aplicada:** Mediante el ABP, los estudiantes se forman en la investigación aplicada, abordando problemas reales y diseñando soluciones pedagógicas que pueden ser implementadas en contextos educativos específicos, lo que enriquece tanto su formación investigativa como su práctica docente.</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En resumen, el curso "Desarrollo del Pensamiento Matemático en la Infancia" no solo prepara a los estudiantes para ser docentes efectivos y creativos, sino que también los capacita como investigadores críticos y comprometidos, capaces de contribuir al avance de la educación infantil en Colombia y más allá.</w:t>
            </w:r>
          </w:p>
          <w:p>
            <w:pPr>
              <w:pStyle w:val="Normal"/>
              <w:widowControl/>
              <w:suppressAutoHyphens w:val="true"/>
              <w:spacing w:before="0" w:after="0"/>
              <w:jc w:val="both"/>
              <w:rPr>
                <w:rFonts w:ascii="Calibri" w:hAnsi="Calibri"/>
                <w:sz w:val="22"/>
                <w:szCs w:val="22"/>
              </w:rPr>
            </w:pPr>
            <w:r>
              <w:rPr/>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b/>
                <w:sz w:val="22"/>
                <w:szCs w:val="22"/>
              </w:rPr>
            </w:pPr>
            <w:r>
              <w:rPr>
                <w:rFonts w:eastAsia="Times New Roman" w:cs="Times New Roman" w:ascii="Calibri" w:hAnsi="Calibr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left w:val="single" w:sz="4" w:space="0" w:color="7F7F7F"/>
              <w:bottom w:val="single" w:sz="4" w:space="0" w:color="7F7F7F"/>
              <w:right w:val="single" w:sz="4" w:space="0" w:color="7F7F7F"/>
            </w:tcBorders>
          </w:tcPr>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t>**Descripción de los Conocimientos y/o Saberes del Curso "Desarrollo del Pensamiento Matemático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En el desarrollo del curso "Desarrollo del Pensamiento Matemático en la Infancia," se abordan los siguientes ejes problémicos, saberes, proyectos, contenidos y temas, organizados de acuerdo con el enfoque curricular del programa de Licenciatura en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 **Ejes Problémicos**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**Comprensión de Conceptos Matemáticos Abstractos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Central:** ¿Cómo pueden los futuros docentes transformar conceptos matemáticos abstractos en experiencias concretas y significativas para los niños de preescolar a quinto de primaria?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**Abordaje:** El curso explora estrategias didácticas que facilitan la comprensión de los números naturales, enteros, racionales e irracionales, y sus operaciones, utilizando herramientas lúdicas y contextos cercanos a la vida de los niños.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**Integración de la Tecnología en la Enseñanza de las Matemáticas:**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Central:** ¿Cómo pueden los futuros licenciados utilizar herramientas digitales como Python y LaTeX para enriquecer la enseñanza de las matemáticas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**Abordaje:** Se enseña a los estudiantes a incorporar tecnologías avanzadas en sus prácticas docentes, desarrollando actividades y recursos digitales que faciliten la enseñanza y el aprendizaje de las matemáticas.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**Adaptación de la Enseñanza Matemática a Contextos Diversos:**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**Problema Central:** ¿Cómo pueden los futuros docentes adaptar la enseñanza de las matemáticas a diferentes contextos culturales, sociales y económicos?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**Abordaje:** A través del Aprendizaje Basado en Problemas (ABP), los estudiantes diseñan proyectos educativos que responden a las realidades específicas de los niños, integrando las matemáticas en sus contextos familiares, económicos y lúdicos.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 **Saberes y Contenidos**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1. **Números Naturales, Enteros, Racionales e Irracionales:**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**Descripción:** Se exploran los conjuntos numéricos desde los números naturales hasta los irracionales, enfatizando su uso, representación y operaciones. Los estudiantes aprenden a enseñar estos conceptos utilizando métodos que faciliten su comprensión por parte de los niños.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**Metodología:** Se utilizan actividades lúdicas, materiales manipulativos y ejemplos de la vida cotidiana para contextualizar estos conceptos matemáticos.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2. **Operaciones Matemáticas en la Infancia:**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**Descripción:** Se abordan las operaciones básicas (suma, resta, multiplicación, división) y sus aplicaciones en problemas simples. Se enseña cómo presentar estas operaciones de manera que los niños puedan relacionarlas con situaciones prácticas.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**Metodología:** Los estudiantes diseñan y prueban actividades que promuevan el entendimiento profundo de las operaciones, utilizando tanto enfoques tradicionales como digitales.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3. **Uso de Python y LaTeX en la Enseñanza de Matemáticas:**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**Descripción:** Los estudiantes aprenden a utilizar Python y LaTeX para crear recursos educativos interactivos, tales como cuadernos Jupyter, que pueden ser utilizados para enseñar matemáticas a niños.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**Metodología:** A través de talleres prácticos, los estudiantes desarrollan competencias en programación básica y en la creación de documentos científicos con LaTeX, aplicándolos en la elaboración de material didáctico.</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4. **Metodologías Didácticas:**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**Descripción:** Se exploran diferentes metodologías de enseñanza, como el aula invertida y el Aprendizaje Basado en Problemas (ABP), aplicadas al contexto de la educación infantil.</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**Metodología:** Los estudiantes participan en actividades que les permiten experimentar con estas metodologías, diseñando y evaluando sus propias propuestas pedagógicas.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b/>
                <w:bCs/>
                <w:sz w:val="22"/>
                <w:szCs w:val="22"/>
              </w:rPr>
            </w:pPr>
            <w:r>
              <w:rPr>
                <w:rFonts w:ascii="Calibri" w:hAnsi="Calibri"/>
                <w:b/>
                <w:bCs/>
                <w:sz w:val="22"/>
                <w:szCs w:val="22"/>
              </w:rPr>
              <w:t>Proyectos**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b/>
                <w:bCs/>
                <w:sz w:val="22"/>
                <w:szCs w:val="22"/>
              </w:rPr>
            </w:pPr>
            <w:r>
              <w:rPr>
                <w:rFonts w:ascii="Calibri" w:hAnsi="Calibri"/>
                <w:b/>
                <w:bCs/>
                <w:sz w:val="22"/>
                <w:szCs w:val="22"/>
              </w:rPr>
              <w:t>1. **Diseño de Estrategias Didácticas Contextualizadas:**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**Descripción:** Los estudiantes desarrollan proyectos en los que diseñan estrategias didácticas adaptadas a diferentes contextos sociales y culturales. Estos proyectos se presentan y discuten en clase, permitiendo la retroalimentación y la mejora continua.</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**Objetivo:** Promover la capacidad de los futuros licenciados para crear propuestas educativas que sean relevantes y efectivas en distintos contextos.</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b/>
                <w:bCs/>
                <w:sz w:val="22"/>
                <w:szCs w:val="22"/>
              </w:rPr>
            </w:pPr>
            <w:r>
              <w:rPr>
                <w:rFonts w:ascii="Calibri" w:hAnsi="Calibri"/>
                <w:b/>
                <w:bCs/>
                <w:sz w:val="22"/>
                <w:szCs w:val="22"/>
              </w:rPr>
              <w:t>2. Elaboración de Recursos Digitales Educativos: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b/>
                <w:bCs/>
                <w:sz w:val="22"/>
                <w:szCs w:val="22"/>
              </w:rPr>
              <w:t>**Descripción:**</w:t>
            </w:r>
            <w:r>
              <w:rPr>
                <w:rFonts w:ascii="Calibri" w:hAnsi="Calibri"/>
                <w:sz w:val="22"/>
                <w:szCs w:val="22"/>
              </w:rPr>
              <w:t xml:space="preserve"> Como parte del curso, los estudiantes crean recursos digitales utilizando Python y LaTeX, que luego son probados y refinados a través de la interacción con niños en prácticas pedagógicas.</w:t>
            </w:r>
          </w:p>
          <w:p>
            <w:pPr>
              <w:pStyle w:val="Normal"/>
              <w:widowControl/>
              <w:suppressAutoHyphens w:val="true"/>
              <w:spacing w:before="0" w:after="0"/>
              <w:jc w:val="both"/>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b/>
                <w:bCs/>
                <w:sz w:val="22"/>
                <w:szCs w:val="22"/>
              </w:rPr>
              <w:t>Objetivo:</w:t>
            </w:r>
            <w:r>
              <w:rPr>
                <w:rFonts w:ascii="Calibri" w:hAnsi="Calibri"/>
                <w:sz w:val="22"/>
                <w:szCs w:val="22"/>
              </w:rPr>
              <w:t xml:space="preserve"> Capacitar a los estudiantes en el uso de herramientas tecnológicas para la enseñanza de las matemáticas, preparándolos para su aplicación en el aula.</w:t>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Fonts w:ascii="Calibri" w:hAnsi="Calibri"/>
                <w:sz w:val="22"/>
                <w:szCs w:val="22"/>
              </w:rPr>
              <w:t>En conjunto, estos ejes problémicos, saberes, proyectos y contenidos permiten a los futuros licenciados en educación infantil adquirir una formación integral y contextualizada, preparando a los estudiantes para enfrentar los desafíos de la enseñanza de las matemáticas en la infancia con un enfoque innovador y centrado en las necesidades de los niños.</w:t>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
          </w:p>
          <w:p>
            <w:pPr>
              <w:pStyle w:val="Normal"/>
              <w:widowControl/>
              <w:suppressAutoHyphens w:val="true"/>
              <w:spacing w:before="0" w:after="0"/>
              <w:jc w:val="both"/>
              <w:rPr>
                <w:rFonts w:ascii="Calibri" w:hAnsi="Calibri"/>
                <w:sz w:val="22"/>
                <w:szCs w:val="22"/>
              </w:rPr>
            </w:pPr>
            <w:r>
              <w:rPr>
                <w:rFonts w:ascii="Calibri" w:hAnsi="Calibri"/>
                <w:sz w:val="22"/>
                <w:szCs w:val="22"/>
              </w:rPr>
            </w:r>
          </w:p>
          <w:p>
            <w:pPr>
              <w:pStyle w:val="Normal"/>
              <w:widowControl/>
              <w:suppressAutoHyphens w:val="true"/>
              <w:spacing w:before="0" w:after="0"/>
              <w:jc w:val="both"/>
              <w:rPr>
                <w:rFonts w:ascii="Calibri" w:hAnsi="Calibri"/>
                <w:sz w:val="22"/>
                <w:szCs w:val="22"/>
              </w:rPr>
            </w:pPr>
            <w:r>
              <w:rPr/>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METODOLOGÍA</w:t>
            </w:r>
            <w:r>
              <w:rPr>
                <w:rStyle w:val="FootnoteReference"/>
                <w:rFonts w:eastAsia="Times New Roman" w:ascii="Calibri" w:hAnsi="Calibr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contextualSpacing/>
              <w:jc w:val="both"/>
              <w:rPr>
                <w:rFonts w:ascii="Calibri" w:hAnsi="Calibri"/>
              </w:rPr>
            </w:pPr>
            <w:r>
              <w:rPr>
                <w:rFonts w:eastAsia="Times New Roman" w:cs="Times New Roman" w:ascii="Calibri" w:hAnsi="Calibr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Clase magistral </w:t>
            </w:r>
            <w:sdt>
              <w:sdtPr>
                <w:id w:val="-779498080"/>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kern w:val="0"/>
                <w:szCs w:val="20"/>
                <w:lang w:val="es-ES" w:eastAsia="es-ES" w:bidi="ar-SA"/>
              </w:rPr>
              <w:t xml:space="preserve">  Salida de campo </w:t>
            </w:r>
            <w:sdt>
              <w:sdtPr>
                <w:id w:val="-1326056829"/>
                <w14:checkbox>
                  <w14:checked w14:val="0"/>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kern w:val="0"/>
                <w:szCs w:val="20"/>
                <w:lang w:val="es-ES" w:eastAsia="es-ES" w:bidi="ar-SA"/>
              </w:rPr>
              <w:t xml:space="preserve"> Taller </w:t>
            </w:r>
            <w:sdt>
              <w:sdtPr>
                <w:id w:val="-1612662597"/>
                <w14:checkbox>
                  <w14:checked w14:val="1"/>
                  <w14:checkedState w14:val="2612"/>
                  <w14:uncheckedState w14:val="2610"/>
                </w14:checkbox>
              </w:sdtPr>
              <w:sdtContent>
                <w:r>
                  <w:rPr>
                    <w:rFonts w:eastAsia="Times New Roman" w:cs="Times New Roman" w:ascii="Calibri" w:hAnsi="Calibri"/>
                    <w:kern w:val="0"/>
                    <w:szCs w:val="20"/>
                    <w:lang w:val="es-ES" w:eastAsia="es-ES" w:bidi="ar-SA"/>
                  </w:rPr>
                </w:r>
                <w:r>
                  <w:rPr>
                    <w:rFonts w:eastAsia="Times New Roman" w:cs="Times New Roman" w:ascii="Calibri" w:hAnsi="Calibri"/>
                    <w:kern w:val="0"/>
                    <w:szCs w:val="20"/>
                    <w:lang w:val="es-ES" w:eastAsia="es-ES" w:bidi="ar-SA"/>
                  </w:rPr>
                  <w:t>☒</w:t>
                </w:r>
              </w:sdtContent>
            </w:sdt>
            <w:r>
              <w:rPr>
                <w:rFonts w:eastAsia="Times New Roman" w:cs="Times New Roman" w:ascii="Calibri" w:hAnsi="Calibri"/>
                <w:kern w:val="0"/>
                <w:szCs w:val="20"/>
                <w:lang w:val="es-ES" w:eastAsia="es-ES" w:bidi="ar-SA"/>
              </w:rPr>
              <w:t xml:space="preserve">   </w:t>
            </w:r>
            <w:r>
              <w:rPr>
                <w:rFonts w:eastAsia="Times New Roman" w:cs="Verdana" w:ascii="Calibri" w:hAnsi="Calibr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kern w:val="0"/>
                <w:sz w:val="22"/>
                <w:szCs w:val="22"/>
                <w:lang w:val="es-ES" w:eastAsia="es-ES" w:bidi="ar-SA"/>
              </w:rPr>
              <w:t xml:space="preserve">    </w:t>
            </w:r>
            <w:sdt>
              <w:sdtPr>
                <w:id w:val="1575464573"/>
              </w:sdtPr>
              <w:sdtContent>
                <w:r>
                  <w:rPr>
                    <w:rFonts w:eastAsia="Times New Roman" w:cs="Verdana" w:ascii="Calibri" w:hAnsi="Calibri"/>
                    <w:kern w:val="0"/>
                    <w:sz w:val="22"/>
                    <w:szCs w:val="22"/>
                    <w:lang w:val="es-ES" w:eastAsia="es-ES" w:bidi="ar-SA"/>
                  </w:rPr>
                </w:r>
                <w:r>
                  <w:rPr>
                    <w:rFonts w:eastAsia="Times New Roman" w:cs="Verdana" w:ascii="Calibri" w:hAnsi="Calibr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sz w:val="22"/>
                <w:szCs w:val="22"/>
              </w:rPr>
            </w:pPr>
            <w:r>
              <w:rPr>
                <w:rFonts w:cs="Calibri" w:ascii="Calibri" w:hAnsi="Calibri"/>
                <w:sz w:val="22"/>
                <w:szCs w:val="22"/>
              </w:rPr>
            </w:r>
          </w:p>
          <w:p>
            <w:pPr>
              <w:pStyle w:val="Normal"/>
              <w:widowControl/>
              <w:suppressAutoHyphens w:val="true"/>
              <w:spacing w:before="0" w:after="0"/>
              <w:contextualSpacing/>
              <w:jc w:val="both"/>
              <w:rPr>
                <w:rFonts w:ascii="Calibri" w:hAnsi="Calibri" w:cs="Calibri"/>
                <w:color w:themeColor="dark1" w:val="000000"/>
                <w:szCs w:val="24"/>
              </w:rPr>
            </w:pPr>
            <w:r>
              <w:rPr>
                <w:rFonts w:eastAsia="Times New Roman" w:cs="Calibri" w:ascii="Calibri" w:hAnsi="Calibri"/>
                <w:color w:themeColor="dark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Calibri" w:hAnsi="Calibri" w:cs="Calibri"/>
                <w:color w:themeColor="dark1" w:val="000000"/>
                <w:szCs w:val="24"/>
              </w:rPr>
            </w:pPr>
            <w:r>
              <w:rPr>
                <w:rFonts w:cs="Calibri" w:ascii="Calibri" w:hAnsi="Calibri"/>
                <w:color w:themeColor="dark1" w:val="000000"/>
                <w:szCs w:val="24"/>
              </w:rPr>
            </w:r>
          </w:p>
          <w:p>
            <w:pPr>
              <w:pStyle w:val="Normal"/>
              <w:widowControl/>
              <w:suppressAutoHyphens w:val="true"/>
              <w:spacing w:before="0" w:after="0"/>
              <w:contextualSpacing/>
              <w:jc w:val="both"/>
              <w:rPr>
                <w:rFonts w:ascii="Times New Roman" w:hAnsi="Times New Roman"/>
                <w:color w:themeColor="dark1" w:val="000000"/>
                <w:szCs w:val="24"/>
              </w:rPr>
            </w:pPr>
            <w:r>
              <w:rPr>
                <w:rFonts w:ascii="Times New Roman" w:hAnsi="Times New Roman"/>
                <w:color w:themeColor="dark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Formas de interacción en los ambientes de aprendizaje y de acompañamiento del trabajo independiente del estudiante:  </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Estrategias de internacionalización del currículo que se desarrollan para cumplir con las intencionalidades formativas del microcurrículo:  </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Estrategias para abordar o visibilizar la diversidad desde la perspectiva de género, el enfoque diferencial o el enfoque intercultural:  </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
          </w:p>
          <w:p>
            <w:pPr>
              <w:pStyle w:val="ListParagraph"/>
              <w:widowControl/>
              <w:suppressAutoHyphens w:val="true"/>
              <w:spacing w:before="0" w:after="0"/>
              <w:ind w:left="360"/>
              <w:jc w:val="both"/>
              <w:rPr>
                <w:rFonts w:ascii="Calibri" w:hAnsi="Calibri"/>
              </w:rPr>
            </w:pPr>
            <w:r>
              <w:rPr>
                <w:rFonts w:ascii="Calibri" w:hAnsi="Calibri"/>
              </w:rPr>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5312"/>
        <w:gridCol w:w="5182"/>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bottom w:val="single" w:sz="4" w:space="0" w:color="000000"/>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top w:val="single" w:sz="4" w:space="0" w:color="000000"/>
              <w:left w:val="single" w:sz="4" w:space="0" w:color="7F7F7F"/>
              <w:bottom w:val="single" w:sz="4" w:space="0" w:color="000000"/>
              <w:right w:val="single" w:sz="4" w:space="0" w:color="7F7F7F"/>
            </w:tcBorders>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r>
              <w:rPr>
                <w:rFonts w:eastAsia="Times New Roman" w:cs="Times New Roman" w:ascii="Calibri" w:hAnsi="Calibri"/>
                <w:kern w:val="0"/>
                <w:szCs w:val="20"/>
                <w:lang w:val="es-ES" w:eastAsia="es-ES" w:bidi="ar-SA"/>
              </w:rPr>
              <w:t xml:space="preserve">  </w:t>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
          </w:p>
          <w:p>
            <w:pPr>
              <w:pStyle w:val="Normal"/>
              <w:widowControl/>
              <w:suppressAutoHyphens w:val="true"/>
              <w:spacing w:before="0" w:after="0"/>
              <w:jc w:val="both"/>
              <w:rPr>
                <w:rFonts w:ascii="Calibri" w:hAnsi="Calibri"/>
              </w:rPr>
            </w:pPr>
            <w:r>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top w:val="single" w:sz="4" w:space="0" w:color="000000"/>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2"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Momentos de evaluación</w:t>
            </w:r>
          </w:p>
        </w:tc>
        <w:tc>
          <w:tcPr>
            <w:tcW w:w="5182"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Parcial 1</w:t>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25</w:t>
            </w:r>
          </w:p>
        </w:tc>
      </w:tr>
      <w:tr>
        <w:trPr>
          <w:trHeight w:val="397" w:hRule="atLeast"/>
        </w:trPr>
        <w:tc>
          <w:tcPr>
            <w:tcW w:w="531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Parcial 2</w:t>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25</w:t>
            </w:r>
          </w:p>
        </w:tc>
      </w:tr>
      <w:tr>
        <w:trPr>
          <w:trHeight w:val="397" w:hRule="atLeast"/>
        </w:trPr>
        <w:tc>
          <w:tcPr>
            <w:tcW w:w="531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Parcial 3</w:t>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25</w:t>
            </w:r>
          </w:p>
        </w:tc>
      </w:tr>
      <w:tr>
        <w:trPr>
          <w:trHeight w:val="397" w:hRule="atLeast"/>
        </w:trPr>
        <w:tc>
          <w:tcPr>
            <w:tcW w:w="531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Parcial 4</w:t>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t>25</w:t>
            </w:r>
          </w:p>
        </w:tc>
      </w:tr>
      <w:tr>
        <w:trPr>
          <w:trHeight w:val="397" w:hRule="atLeast"/>
        </w:trPr>
        <w:tc>
          <w:tcPr>
            <w:tcW w:w="531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r>
          </w:p>
        </w:tc>
        <w:tc>
          <w:tcPr>
            <w:tcW w:w="518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W w:w="10490" w:type="dxa"/>
        <w:jc w:val="left"/>
        <w:tblInd w:w="-261" w:type="dxa"/>
        <w:tblLayout w:type="fixed"/>
        <w:tblCellMar>
          <w:top w:w="0" w:type="dxa"/>
          <w:left w:w="108" w:type="dxa"/>
          <w:bottom w:w="0" w:type="dxa"/>
          <w:right w:w="108" w:type="dxa"/>
        </w:tblCellMar>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t>E</w:t>
            </w:r>
            <w:r>
              <w:rPr>
                <w:rFonts w:cs="Calibri" w:ascii="Calibri" w:hAnsi="Calibri"/>
                <w:sz w:val="22"/>
                <w:szCs w:val="22"/>
              </w:rPr>
              <w:t>ste</w:t>
            </w:r>
            <w:r>
              <w:rPr>
                <w:rFonts w:cs="Calibri" w:ascii="Calibri" w:hAnsi="Calibri"/>
                <w:sz w:val="22"/>
                <w:szCs w:val="22"/>
              </w:rPr>
              <w:t xml:space="preserve"> texto esta relacionado con el contexto educativo en Colombia, específicamente en torno a los Derechos Básicos de Aprendizaje (DBA). Los DBA son una iniciativa del Ministerio de Educación Nacional de Colombia que busca establecer un conjunto mínimo de aprendizajes esenciales que todos los estudiantes del país deben alcanzar en diferentes áreas del conocimiento.</w:t>
            </w:r>
          </w:p>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p>
            <w:pPr>
              <w:pStyle w:val="Normal"/>
              <w:widowControl/>
              <w:suppressAutoHyphens w:val="true"/>
              <w:spacing w:before="0" w:after="0"/>
              <w:jc w:val="left"/>
              <w:rPr>
                <w:rFonts w:ascii="Calibri" w:hAnsi="Calibri" w:cs="Calibri"/>
                <w:b/>
                <w:bCs/>
                <w:sz w:val="22"/>
                <w:szCs w:val="22"/>
              </w:rPr>
            </w:pPr>
            <w:r>
              <w:rPr>
                <w:rFonts w:cs="Calibri" w:ascii="Calibri" w:hAnsi="Calibri"/>
                <w:b/>
                <w:bCs/>
                <w:sz w:val="22"/>
                <w:szCs w:val="22"/>
              </w:rPr>
              <w:t>Cultura:</w:t>
            </w:r>
          </w:p>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t>La cultura en la que se inserta este texto es la cultura educativa colombiana, enfocada en mejorar la calidad y equidad en la educación. Los DBA son parte de los esfuerzos del gobierno colombiano por garantizar que todos los estudiantes, independientemente de su origen o contexto, tengan acceso a una educación de calidad y puedan alcanzar los aprendizajes fundamentales.</w:t>
            </w:r>
          </w:p>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p>
            <w:pPr>
              <w:pStyle w:val="Normal"/>
              <w:widowControl/>
              <w:suppressAutoHyphens w:val="true"/>
              <w:spacing w:before="0" w:after="0"/>
              <w:jc w:val="left"/>
              <w:rPr>
                <w:rFonts w:ascii="Calibri" w:hAnsi="Calibri" w:cs="Calibri"/>
                <w:b/>
                <w:bCs/>
                <w:sz w:val="22"/>
                <w:szCs w:val="22"/>
              </w:rPr>
            </w:pPr>
            <w:r>
              <w:rPr>
                <w:rFonts w:cs="Calibri" w:ascii="Calibri" w:hAnsi="Calibri"/>
                <w:b/>
                <w:bCs/>
                <w:sz w:val="22"/>
                <w:szCs w:val="22"/>
              </w:rPr>
              <w:t>Zona Geográfica:</w:t>
            </w:r>
          </w:p>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t xml:space="preserve">El texto se enmarca en la zona geográfica de </w:t>
            </w:r>
            <w:r>
              <w:rPr>
                <w:rFonts w:cs="Calibri" w:ascii="Calibri" w:hAnsi="Calibri"/>
                <w:b/>
                <w:bCs/>
                <w:sz w:val="22"/>
                <w:szCs w:val="22"/>
              </w:rPr>
              <w:t>Colombia</w:t>
            </w:r>
            <w:r>
              <w:rPr>
                <w:rFonts w:cs="Calibri" w:ascii="Calibri" w:hAnsi="Calibri"/>
                <w:sz w:val="22"/>
                <w:szCs w:val="22"/>
              </w:rPr>
              <w:t>, un país sudamericano. Las políticas educativas y los sistemas de gestión mencionados en el texto corresponden al contexto colombiano, donde se aplican los Derechos Básicos de Aprendizaje en las instituciones educativas a nivel nacional.</w:t>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 xml:space="preserve">Peñas, C. (2016). Derechos Básicos de Aprendizaje (DBA): definición y alcances. </w:t>
            </w:r>
            <w:r>
              <w:rPr>
                <w:rFonts w:cs="Calibri" w:ascii="Calibri" w:hAnsi="Calibri"/>
                <w:i/>
                <w:sz w:val="22"/>
                <w:szCs w:val="22"/>
              </w:rPr>
              <w:t>Sistema integral de gestión educativa</w:t>
            </w:r>
            <w:r>
              <w:rPr>
                <w:rFonts w:cs="Calibri" w:ascii="Calibri" w:hAnsi="Calibri"/>
                <w:sz w:val="22"/>
                <w:szCs w:val="22"/>
              </w:rPr>
              <w:t>.</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1. Derechos Básicos de Aprendizaje (DBA)</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2. Educación</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3. Colombia</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4. Ministerio de Educación Nacional</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5. Gestión educativa</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6. Calidad educativa</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7. Equidad</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8. Aprendizajes esenciales</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9. Política educativa</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10. Estándares de aprendizaje</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11. Inclusión educativa</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12. Sistema educativo colombiano</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13. Currículo</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14. Evaluación educativa</w:t>
            </w:r>
          </w:p>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t>15. Estudiantes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cs="Calibri"/>
                <w:sz w:val="22"/>
                <w:szCs w:val="22"/>
              </w:rPr>
            </w:pPr>
            <w:r>
              <w:rPr>
                <w:rFonts w:cs="Calibr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sz w:val="22"/>
                <w:szCs w:val="22"/>
              </w:rPr>
            </w:pPr>
            <w:r>
              <w:rPr>
                <w:rFonts w:cs="Calibri" w:ascii="Calibri" w:hAnsi="Calibri"/>
                <w:sz w:val="22"/>
                <w:szCs w:val="22"/>
              </w:rPr>
            </w:r>
          </w:p>
        </w:tc>
      </w:tr>
    </w:tbl>
    <w:p>
      <w:pPr>
        <w:pStyle w:val="Normal"/>
        <w:rPr>
          <w:rFonts w:ascii="Calibri" w:hAnsi="Calibri"/>
        </w:rPr>
      </w:pPr>
      <w:r>
        <w:rPr>
          <w:rFonts w:ascii="Calibri" w:hAnsi="Calibri"/>
        </w:rPr>
      </w:r>
    </w:p>
    <w:tbl>
      <w:tblPr>
        <w:tblW w:w="10519" w:type="dxa"/>
        <w:jc w:val="left"/>
        <w:tblInd w:w="-261" w:type="dxa"/>
        <w:tblLayout w:type="fixed"/>
        <w:tblCellMar>
          <w:top w:w="0" w:type="dxa"/>
          <w:left w:w="108" w:type="dxa"/>
          <w:bottom w:w="0" w:type="dxa"/>
          <w:right w:w="108" w:type="dxa"/>
        </w:tblCellMar>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fill="D9D9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left"/>
              <w:rPr>
                <w:rFonts w:ascii="Calibri" w:hAnsi="Calibri"/>
              </w:rPr>
            </w:pPr>
            <w:r>
              <w:rPr>
                <w:rFonts w:ascii="Calibri" w:hAnsi="Calibri"/>
              </w:rPr>
              <w:t>Marco Julio Cañas Campillo</w:t>
            </w:r>
          </w:p>
        </w:tc>
        <w:tc>
          <w:tcPr>
            <w:tcW w:w="3686"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t>Dirección de regionalización</w:t>
            </w:r>
          </w:p>
        </w:tc>
        <w:tc>
          <w:tcPr>
            <w:tcW w:w="340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rPr>
            </w:pPr>
            <w:r>
              <w:rPr>
                <w:rFonts w:ascii="Calibri" w:hAnsi="Calibri"/>
              </w:rPr>
              <w:t>Licenciado en Matemáticas y Física. Magister en Ciencias Matemáticas</w:t>
            </w:r>
          </w:p>
        </w:tc>
      </w:tr>
    </w:tbl>
    <w:p>
      <w:pPr>
        <w:pStyle w:val="Normal"/>
        <w:rPr>
          <w:rFonts w:ascii="Calibri" w:hAnsi="Calibri"/>
        </w:rPr>
      </w:pPr>
      <w:r>
        <w:rPr>
          <w:rFonts w:ascii="Calibri" w:hAnsi="Calibri"/>
        </w:rPr>
      </w:r>
    </w:p>
    <w:tbl>
      <w:tblPr>
        <w:tblW w:w="10495" w:type="dxa"/>
        <w:jc w:val="left"/>
        <w:tblInd w:w="-236" w:type="dxa"/>
        <w:tblLayout w:type="fixed"/>
        <w:tblCellMar>
          <w:top w:w="0" w:type="dxa"/>
          <w:left w:w="108" w:type="dxa"/>
          <w:bottom w:w="0" w:type="dxa"/>
          <w:right w:w="108" w:type="dxa"/>
        </w:tblCellMar>
      </w:tblPr>
      <w:tblGrid>
        <w:gridCol w:w="286"/>
        <w:gridCol w:w="3263"/>
        <w:gridCol w:w="281"/>
        <w:gridCol w:w="711"/>
        <w:gridCol w:w="940"/>
        <w:gridCol w:w="1467"/>
        <w:gridCol w:w="287"/>
        <w:gridCol w:w="2973"/>
        <w:gridCol w:w="286"/>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fill="BFBF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sdt>
              <w:sdtPr>
                <w:id w:val="-1201389325"/>
                <w:showingPlcHdr/>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left w:val="single" w:sz="4" w:space="0" w:color="7F7F7F"/>
            </w:tcBorders>
            <w:vAlign w:val="bottom"/>
          </w:tcPr>
          <w:p>
            <w:pPr>
              <w:pStyle w:val="Normal"/>
              <w:widowControl/>
              <w:suppressAutoHyphens w:val="true"/>
              <w:spacing w:before="0" w:after="0"/>
              <w:jc w:val="both"/>
              <w:rPr>
                <w:rFonts w:ascii="Calibri" w:hAnsi="Calibri" w:cs="Arial"/>
              </w:rPr>
            </w:pPr>
            <w:r>
              <w:rPr>
                <w:rFonts w:cs="Arial" w:ascii="Calibri" w:hAnsi="Calibri"/>
              </w:rPr>
            </w:r>
          </w:p>
        </w:tc>
        <w:tc>
          <w:tcPr>
            <w:tcW w:w="3263"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1"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7" w:type="dxa"/>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3"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6" w:type="dxa"/>
            <w:tcBorders>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left w:val="single" w:sz="4" w:space="0" w:color="7F7F7F"/>
            </w:tcBorders>
            <w:vAlign w:val="bottom"/>
          </w:tcPr>
          <w:p>
            <w:pPr>
              <w:pStyle w:val="Normal"/>
              <w:widowControl/>
              <w:suppressAutoHyphens w:val="true"/>
              <w:spacing w:before="0" w:after="0"/>
              <w:jc w:val="left"/>
              <w:rPr>
                <w:rFonts w:ascii="Calibri" w:hAnsi="Calibri" w:cs="Arial"/>
              </w:rPr>
            </w:pPr>
            <w:r>
              <w:rPr>
                <w:rFonts w:cs="Arial" w:ascii="Calibri" w:hAnsi="Calibri"/>
              </w:rPr>
            </w:r>
          </w:p>
        </w:tc>
        <w:tc>
          <w:tcPr>
            <w:tcW w:w="3263"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1"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7" w:type="dxa"/>
            <w:tcBorders/>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3" w:type="dxa"/>
            <w:tcBorders>
              <w:top w:val="single" w:sz="4" w:space="0" w:color="7F7F7F"/>
            </w:tcBorders>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6" w:type="dxa"/>
            <w:tcBorders>
              <w:right w:val="single" w:sz="4" w:space="0" w:color="7F7F7F"/>
            </w:tcBorders>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left w:val="single" w:sz="4" w:space="0" w:color="7F7F7F"/>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0" w:type="dxa"/>
            <w:tcBorders>
              <w:bottom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3" w:type="dxa"/>
            <w:gridSpan w:val="4"/>
            <w:tcBorders>
              <w:bottom w:val="single" w:sz="4" w:space="0" w:color="7F7F7F"/>
              <w:right w:val="single" w:sz="4" w:space="0" w:color="7F7F7F"/>
            </w:tcBorders>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Notas del primer artículo</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t>Análisis documental</w:t>
      </w:r>
    </w:p>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9</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p>
    <w:pPr>
      <w:pStyle w:val="Footer"/>
      <w:rPr>
        <w:rFonts w:ascii="Calibri" w:hAnsi="Calibri"/>
        <w:sz w:val="20"/>
      </w:rPr>
    </w:pPr>
    <w:r>
      <w:rPr>
        <w:rFonts w:ascii="Calibri" w:hAnsi="Calibr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9</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11</w:t>
    </w:r>
    <w:r>
      <w:rPr>
        <w:sz w:val="20"/>
        <w:szCs w:val="24"/>
        <w:bCs/>
        <w:rFonts w:ascii="Calibri" w:hAnsi="Calibri"/>
      </w:rPr>
      <w:fldChar w:fldCharType="end"/>
    </w:r>
  </w:p>
  <w:p>
    <w:pPr>
      <w:pStyle w:val="Footer"/>
      <w:rPr>
        <w:rFonts w:ascii="Calibri" w:hAnsi="Calibri"/>
        <w:sz w:val="20"/>
      </w:rPr>
    </w:pPr>
    <w:r>
      <w:rPr>
        <w:rFonts w:ascii="Calibri" w:hAnsi="Calibr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sz w:val="16"/>
          <w:szCs w:val="16"/>
        </w:rPr>
      </w:pPr>
      <w:r>
        <w:rPr>
          <w:rStyle w:val="FootnoteCharacters2"/>
        </w:rPr>
        <w:footnoteRef/>
      </w:r>
      <w:r>
        <w:rPr>
          <w:rFonts w:cs="Calibri" w:ascii="Calibri" w:hAnsi="Calibri"/>
          <w:sz w:val="16"/>
          <w:szCs w:val="16"/>
        </w:rPr>
        <w:t xml:space="preserve"> </w:t>
      </w:r>
      <w:r>
        <w:rPr>
          <w:rFonts w:cs="Calibri" w:ascii="Calibri" w:hAnsi="Calibri"/>
          <w:sz w:val="16"/>
          <w:szCs w:val="16"/>
        </w:rPr>
        <w:t xml:space="preserve">La política de créditos de la Universidad de Antioquia se puede consultar en el siguiente enlace: </w:t>
      </w:r>
      <w:hyperlink r:id="rId1">
        <w:r>
          <w:rPr>
            <w:rStyle w:val="Hyperlink"/>
            <w:rFonts w:cs="Calibri" w:ascii="Calibri" w:hAnsi="Calibri"/>
            <w:sz w:val="16"/>
            <w:szCs w:val="16"/>
          </w:rPr>
          <w:t>https://www.udea.edu.co/wps/portal/udea/web/inicio/docencia</w:t>
        </w:r>
      </w:hyperlink>
    </w:p>
  </w:footnote>
  <w:footnote w:id="3">
    <w:p>
      <w:pPr>
        <w:pStyle w:val="FootnoteText"/>
        <w:jc w:val="both"/>
        <w:rPr>
          <w:rFonts w:ascii="Calibri" w:hAnsi="Calibri" w:cs="Calibri"/>
          <w:sz w:val="16"/>
          <w:szCs w:val="16"/>
        </w:rPr>
      </w:pPr>
      <w:r>
        <w:rPr>
          <w:rStyle w:val="FootnoteCharacters2"/>
        </w:rPr>
        <w:footnoteRef/>
      </w:r>
      <w:r>
        <w:rPr>
          <w:rFonts w:cs="Calibri" w:ascii="Calibri" w:hAnsi="Calibri"/>
          <w:sz w:val="16"/>
          <w:szCs w:val="16"/>
        </w:rPr>
        <w:t xml:space="preserve"> </w:t>
      </w:r>
      <w:r>
        <w:rPr>
          <w:rFonts w:cs="Calibri" w:ascii="Calibri" w:hAnsi="Calibr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2"/>
        </w:rPr>
        <w:footnoteRef/>
      </w:r>
      <w:r>
        <w:rPr/>
        <w:t xml:space="preserve"> </w:t>
      </w:r>
      <w:r>
        <w:rPr>
          <w:rFonts w:cs="Calibri" w:ascii="Calibri" w:hAnsi="Calibr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sz w:val="16"/>
          <w:szCs w:val="16"/>
        </w:rPr>
      </w:pPr>
      <w:r>
        <w:rPr>
          <w:rStyle w:val="FootnoteCharacters2"/>
        </w:rPr>
        <w:footnoteRef/>
      </w:r>
      <w:r>
        <w:rPr>
          <w:rFonts w:cs="Calibri" w:ascii="Calibri" w:hAnsi="Calibri"/>
          <w:sz w:val="16"/>
          <w:szCs w:val="16"/>
        </w:rPr>
        <w:t xml:space="preserve"> </w:t>
      </w:r>
      <w:r>
        <w:rPr>
          <w:rFonts w:cs="Calibri" w:ascii="Calibri" w:hAnsi="Calibr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sz w:val="16"/>
          <w:szCs w:val="16"/>
        </w:rPr>
      </w:pPr>
      <w:r>
        <w:rPr>
          <w:rStyle w:val="FootnoteCharacters2"/>
        </w:rPr>
        <w:footnoteRef/>
      </w:r>
      <w:r>
        <w:rPr>
          <w:rFonts w:cs="Calibri" w:ascii="Calibri" w:hAnsi="Calibri"/>
          <w:sz w:val="16"/>
          <w:szCs w:val="16"/>
        </w:rPr>
        <w:t xml:space="preserve"> </w:t>
      </w:r>
      <w:r>
        <w:rPr>
          <w:rFonts w:cs="Calibri" w:ascii="Calibri" w:hAnsi="Calibr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sz w:val="16"/>
          <w:szCs w:val="16"/>
        </w:rPr>
      </w:pPr>
      <w:r>
        <w:rPr>
          <w:rStyle w:val="FootnoteCharacters2"/>
        </w:rPr>
        <w:footnoteRef/>
      </w:r>
      <w:r>
        <w:rPr>
          <w:rFonts w:cs="Calibri" w:ascii="Calibri" w:hAnsi="Calibri"/>
          <w:sz w:val="16"/>
          <w:szCs w:val="16"/>
        </w:rPr>
        <w:t xml:space="preserve"> </w:t>
      </w:r>
      <w:r>
        <w:rPr>
          <w:rFonts w:cs="Calibri" w:ascii="Calibri" w:hAnsi="Calibri"/>
          <w:sz w:val="16"/>
          <w:szCs w:val="16"/>
        </w:rPr>
        <w:t xml:space="preserve">La Política de Procesos y Resultados de Aprendizaje de la Universidad de Antioquia se puede consultar en el siguiente enlace: </w:t>
      </w:r>
      <w:hyperlink r:id="rId2">
        <w:r>
          <w:rPr>
            <w:rStyle w:val="Hyperlink"/>
            <w:rFonts w:cs="Calibri" w:ascii="Calibri" w:hAnsi="Calibri"/>
            <w:sz w:val="16"/>
            <w:szCs w:val="16"/>
          </w:rPr>
          <w:t>https://bit.ly/3S47HDV</w:t>
        </w:r>
      </w:hyperlink>
    </w:p>
  </w:footnote>
  <w:footnote w:id="8">
    <w:p>
      <w:pPr>
        <w:pStyle w:val="FootnoteText"/>
        <w:jc w:val="both"/>
        <w:rPr/>
      </w:pPr>
      <w:r>
        <w:rPr>
          <w:rStyle w:val="FootnoteCharacters2"/>
        </w:rPr>
        <w:footnoteRef/>
      </w:r>
      <w:r>
        <w:rPr>
          <w:rFonts w:cs="Calibri" w:ascii="Calibri" w:hAnsi="Calibri"/>
          <w:sz w:val="16"/>
          <w:szCs w:val="16"/>
        </w:rPr>
        <w:t xml:space="preserve"> </w:t>
      </w:r>
      <w:r>
        <w:rPr>
          <w:rFonts w:cs="Calibri" w:ascii="Calibri" w:hAnsi="Calibri"/>
          <w:sz w:val="16"/>
          <w:szCs w:val="16"/>
          <w:lang w:val="es-CO"/>
        </w:rPr>
        <w:t>Para programas de pregrado, de conformidad con el Artículo 78 del Reglamento Estudiantil de Pregrado, cuando las</w:t>
      </w:r>
      <w:r>
        <w:rPr>
          <w:rFonts w:cs="Calibri" w:ascii="Calibri" w:hAnsi="Calibri"/>
          <w:sz w:val="16"/>
          <w:szCs w:val="16"/>
        </w:rPr>
        <w:t xml:space="preserve"> </w:t>
      </w:r>
      <w:r>
        <w:rPr>
          <w:rFonts w:cs="Calibri" w:ascii="Calibri" w:hAnsi="Calibr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sz w:val="16"/>
          <w:szCs w:val="16"/>
        </w:rPr>
        <w:t xml:space="preserve">. </w:t>
      </w:r>
      <w:r>
        <w:rPr>
          <w:rFonts w:cs="Calibri" w:ascii="Calibri" w:hAnsi="Calibr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217" w:type="dxa"/>
      <w:tblLayout w:type="fixed"/>
      <w:tblCellMar>
        <w:top w:w="0" w:type="dxa"/>
        <w:left w:w="108" w:type="dxa"/>
        <w:bottom w:w="0" w:type="dxa"/>
        <w:right w:w="108" w:type="dxa"/>
      </w:tblCellMar>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217" w:type="dxa"/>
      <w:tblLayout w:type="fixed"/>
      <w:tblCellMar>
        <w:top w:w="0" w:type="dxa"/>
        <w:left w:w="108" w:type="dxa"/>
        <w:bottom w:w="0" w:type="dxa"/>
        <w:right w:w="108" w:type="dxa"/>
      </w:tblCellMar>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numPr>
        <w:ilvl w:val="0"/>
        <w:numId w:val="0"/>
      </w:numPr>
      <w:outlineLvl w:val="0"/>
    </w:pPr>
    <w:rPr>
      <w:b/>
    </w:rPr>
  </w:style>
  <w:style w:type="paragraph" w:styleId="Heading2">
    <w:name w:val="Heading 2"/>
    <w:basedOn w:val="Normal"/>
    <w:next w:val="Normal"/>
    <w:qFormat/>
    <w:pPr>
      <w:keepNext w:val="true"/>
      <w:numPr>
        <w:ilvl w:val="0"/>
        <w:numId w:val="0"/>
      </w:numPr>
      <w:jc w:val="center"/>
      <w:outlineLvl w:val="1"/>
    </w:pPr>
    <w:rPr>
      <w:b/>
    </w:rPr>
  </w:style>
  <w:style w:type="paragraph" w:styleId="Heading4">
    <w:name w:val="Heading 4"/>
    <w:basedOn w:val="Normal"/>
    <w:next w:val="Normal"/>
    <w:qFormat/>
    <w:pPr>
      <w:keepNext w:val="true"/>
      <w:numPr>
        <w:ilvl w:val="0"/>
        <w:numId w:val="0"/>
      </w:numPr>
      <w:jc w:val="both"/>
      <w:outlineLvl w:val="3"/>
    </w:pPr>
    <w:rPr>
      <w:b/>
      <w:sz w:val="16"/>
    </w:rPr>
  </w:style>
  <w:style w:type="character" w:styleId="DefaultParagraphFont">
    <w:name w:val="Default Paragraph Font"/>
    <w:qFormat/>
    <w:rPr/>
  </w:style>
  <w:style w:type="character" w:styleId="annotationreference">
    <w:name w:val="annotation reference"/>
    <w:qFormat/>
    <w:rPr>
      <w:sz w:val="16"/>
      <w:szCs w:val="16"/>
    </w:rPr>
  </w:style>
  <w:style w:type="character" w:styleId="TextocomentarioCar">
    <w:name w:val="Texto comentario Car"/>
    <w:link w:val="AnnotationText"/>
    <w:qFormat/>
    <w:rPr>
      <w:rFonts w:ascii="Arial" w:hAnsi="Arial"/>
    </w:rPr>
  </w:style>
  <w:style w:type="character" w:styleId="AsuntodelcomentarioCar">
    <w:name w:val="Asunto del comentario Car"/>
    <w:link w:val="annotationsubject"/>
    <w:qFormat/>
    <w:rPr>
      <w:rFonts w:ascii="Arial" w:hAnsi="Arial"/>
      <w:b/>
      <w:bCs/>
    </w:rPr>
  </w:style>
  <w:style w:type="character" w:styleId="TextodegloboCar">
    <w:name w:val="Texto de globo Car"/>
    <w:link w:val="BalloonText"/>
    <w:qFormat/>
    <w:rPr>
      <w:rFonts w:ascii="Tahoma" w:hAnsi="Tahoma" w:cs="Tahoma"/>
      <w:sz w:val="16"/>
      <w:szCs w:val="16"/>
    </w:rPr>
  </w:style>
  <w:style w:type="character" w:styleId="EncabezadoCar">
    <w:name w:val="Encabezado Car"/>
    <w:link w:val="Header"/>
    <w:qFormat/>
    <w:rPr>
      <w:rFonts w:ascii="Arial" w:hAnsi="Arial"/>
      <w:sz w:val="24"/>
    </w:rPr>
  </w:style>
  <w:style w:type="character" w:styleId="PiedepginaCar">
    <w:name w:val="Pie de página Car"/>
    <w:link w:val="Footer"/>
    <w:qFormat/>
    <w:rPr>
      <w:rFonts w:ascii="Arial" w:hAnsi="Arial"/>
      <w:sz w:val="24"/>
    </w:rPr>
  </w:style>
  <w:style w:type="character" w:styleId="TextonotaalfinalCar">
    <w:name w:val="Texto nota al final Car"/>
    <w:link w:val="EndnoteText"/>
    <w:qFormat/>
    <w:rPr>
      <w:rFonts w:ascii="Arial" w:hAnsi="Arial"/>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qFormat/>
    <w:rPr>
      <w:color w:val="808080"/>
    </w:rPr>
  </w:style>
  <w:style w:type="character" w:styleId="TextonotapieCar">
    <w:name w:val="Texto nota pie Car"/>
    <w:basedOn w:val="DefaultParagraphFont"/>
    <w:link w:val="FootnoteText"/>
    <w:qFormat/>
    <w:rPr>
      <w:rFonts w:ascii="Arial" w:hAnsi="Aria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themeColor="hyperlink" w:val="0000FF"/>
      <w:u w:val="single"/>
    </w:rPr>
  </w:style>
  <w:style w:type="character" w:styleId="Mencinsinresolver1">
    <w:name w:val="Mención sin resolver1"/>
    <w:basedOn w:val="DefaultParagraphFont"/>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pPr/>
    <w:rPr>
      <w:sz w:val="20"/>
      <w:lang w:val="x-none" w:eastAsia="x-none"/>
    </w:rPr>
  </w:style>
  <w:style w:type="paragraph" w:styleId="annotationsubject">
    <w:name w:val="annotation subject"/>
    <w:basedOn w:val="AnnotationText"/>
    <w:next w:val="AnnotationText"/>
    <w:link w:val="AsuntodelcomentarioCar"/>
    <w:qFormat/>
    <w:pPr/>
    <w:rPr>
      <w:b/>
      <w:bCs/>
    </w:rPr>
  </w:style>
  <w:style w:type="paragraph" w:styleId="BalloonText">
    <w:name w:val="Balloon Text"/>
    <w:basedOn w:val="Normal"/>
    <w:link w:val="TextodegloboCar"/>
    <w:qFormat/>
    <w:pPr/>
    <w:rPr>
      <w:rFonts w:ascii="Tahoma" w:hAnsi="Tahoma"/>
      <w:sz w:val="16"/>
      <w:szCs w:val="16"/>
      <w:lang w:val="x-none" w:eastAsia="x-none"/>
    </w:rPr>
  </w:style>
  <w:style w:type="paragraph" w:styleId="Revision">
    <w:name w:val="Revision"/>
    <w:qFormat/>
    <w:pPr>
      <w:widowControl/>
      <w:suppressAutoHyphens w:val="true"/>
      <w:overflowPunct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pPr>
      <w:tabs>
        <w:tab w:val="clear" w:pos="708"/>
        <w:tab w:val="center" w:pos="4252" w:leader="none"/>
        <w:tab w:val="right" w:pos="8504" w:leader="none"/>
      </w:tabs>
    </w:pPr>
    <w:rPr>
      <w:lang w:val="x-none" w:eastAsia="x-none"/>
    </w:rPr>
  </w:style>
  <w:style w:type="paragraph" w:styleId="Footer">
    <w:name w:val="Footer"/>
    <w:basedOn w:val="Normal"/>
    <w:link w:val="PiedepginaCar"/>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pPr/>
    <w:rPr>
      <w:sz w:val="20"/>
      <w:lang w:val="x-none" w:eastAsia="x-none"/>
    </w:rPr>
  </w:style>
  <w:style w:type="paragraph" w:styleId="Estilo">
    <w:name w:val="Estilo"/>
    <w:qFormat/>
    <w:pPr>
      <w:widowControl w:val="false"/>
      <w:suppressAutoHyphens w:val="true"/>
      <w:overflowPunct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qFormat/>
    <w:pPr>
      <w:ind w:left="708"/>
    </w:pPr>
    <w:rPr>
      <w:rFonts w:ascii="Verdana" w:hAnsi="Verdana" w:cs="Verdana"/>
      <w:sz w:val="22"/>
      <w:szCs w:val="22"/>
    </w:rPr>
  </w:style>
  <w:style w:type="paragraph" w:styleId="FootnoteText">
    <w:name w:val="Footnote Text"/>
    <w:basedOn w:val="Normal"/>
    <w:link w:val="TextonotapieCar"/>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446</TotalTime>
  <Application>LibreOffice/24.2.5.2$Linux_X86_64 LibreOffice_project/d6e8b0f3fc6e8af2b00cf4969fd0d2fa45b9a62e</Application>
  <AppVersion>15.0000</AppVersion>
  <Pages>11</Pages>
  <Words>3986</Words>
  <Characters>23982</Characters>
  <CharactersWithSpaces>27938</CharactersWithSpaces>
  <Paragraphs>215</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2024-08-16T16:15:53Z</dcterms:modified>
  <cp:revision>26</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