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Pr>
      <w:tblGrid>
        <w:gridCol w:w="1416"/>
        <w:gridCol w:w="9069"/>
      </w:tblGrid>
      <w:tr>
        <w:trPr>
          <w:trHeight w:val="981" w:hRule="atLeast"/>
          <w:cantSplit w:val="true"/>
        </w:trPr>
        <w:tc>
          <w:tcPr>
            <w:tcW w:w="14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906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sz w:val="10"/>
        </w:rPr>
      </w:pPr>
      <w:r>
        <w:rPr>
          <w:rFonts w:ascii="Calibri" w:hAnsi="Calibri"/>
          <w:sz w:val="10"/>
        </w:rPr>
      </w:r>
    </w:p>
    <w:p>
      <w:pPr>
        <w:pStyle w:val="Normal"/>
        <w:jc w:val="both"/>
        <w:rPr>
          <w:rFonts w:ascii="Calibri" w:hAnsi="Calibri"/>
          <w:sz w:val="10"/>
        </w:rPr>
      </w:pPr>
      <w:r>
        <w:rPr>
          <w:rFonts w:ascii="Calibri" w:hAnsi="Calibri"/>
          <w:sz w:val="10"/>
        </w:rPr>
      </w:r>
    </w:p>
    <w:tbl>
      <w:tblPr>
        <w:tblW w:w="10495" w:type="dxa"/>
        <w:jc w:val="left"/>
        <w:tblInd w:w="-236" w:type="dxa"/>
        <w:tblLayout w:type="fixed"/>
        <w:tblCellMar>
          <w:top w:w="0" w:type="dxa"/>
          <w:left w:w="108" w:type="dxa"/>
          <w:bottom w:w="0" w:type="dxa"/>
          <w:right w:w="108" w:type="dxa"/>
        </w:tblCellMar>
      </w:tblPr>
      <w:tblGrid>
        <w:gridCol w:w="1422"/>
        <w:gridCol w:w="1133"/>
        <w:gridCol w:w="1249"/>
        <w:gridCol w:w="1444"/>
        <w:gridCol w:w="286"/>
        <w:gridCol w:w="51"/>
        <w:gridCol w:w="1931"/>
        <w:gridCol w:w="2979"/>
      </w:tblGrid>
      <w:tr>
        <w:trPr>
          <w:trHeight w:val="340" w:hRule="atLeast"/>
        </w:trPr>
        <w:tc>
          <w:tcPr>
            <w:tcW w:w="10495" w:type="dxa"/>
            <w:gridSpan w:val="8"/>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INFORMACIÓN GENERAL</w:t>
            </w:r>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Nombre del curso:</w:t>
            </w:r>
          </w:p>
        </w:tc>
        <w:tc>
          <w:tcPr>
            <w:tcW w:w="7940"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kern w:val="0"/>
                <w:szCs w:val="20"/>
                <w:lang w:val="es-ES" w:eastAsia="es-ES" w:bidi="ar-SA"/>
              </w:rPr>
              <w:t>Desarrollo del pensamiento matemático en la infancia</w:t>
            </w:r>
          </w:p>
        </w:tc>
      </w:tr>
      <w:tr>
        <w:trPr>
          <w:trHeight w:val="510" w:hRule="atLeast"/>
        </w:trPr>
        <w:tc>
          <w:tcPr>
            <w:tcW w:w="3804" w:type="dxa"/>
            <w:gridSpan w:val="3"/>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 académico al que pertenece:</w:t>
            </w:r>
          </w:p>
        </w:tc>
        <w:tc>
          <w:tcPr>
            <w:tcW w:w="6691"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eastAsia="Times New Roman" w:cs="Times New Roman"/>
                <w:kern w:val="0"/>
                <w:szCs w:val="20"/>
                <w:lang w:val="es-ES" w:eastAsia="es-ES" w:bidi="ar-SA"/>
              </w:rPr>
              <w:t>Licenciatura en pedagogía infantil</w:t>
            </w:r>
            <w:sdt>
              <w:sdtPr>
                <w:id w:val="-1962957546"/>
              </w:sdtPr>
              <w:sdtContent>
                <w:r>
                  <w:rPr/>
                </w:r>
                <w:r>
                  <w:rPr/>
                </w:r>
              </w:sdtContent>
            </w:sdt>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r>
                  <w:rPr/>
                </w:r>
              </w:sdtContent>
            </w:sdt>
          </w:p>
        </w:tc>
        <w:tc>
          <w:tcPr>
            <w:tcW w:w="4961"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Programa(s) académico(s) en los cuales se ofrece el curso:</w:t>
            </w:r>
          </w:p>
        </w:tc>
        <w:tc>
          <w:tcPr>
            <w:tcW w:w="4961"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Licenciatura en educación infantil</w:t>
                </w:r>
                <w:r>
                  <w:rPr/>
                </w:r>
              </w:sdtContent>
            </w:sdt>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Vigencia:</w:t>
            </w:r>
          </w:p>
        </w:tc>
        <w:tc>
          <w:tcPr>
            <w:tcW w:w="4163"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2024-</w:t>
                </w:r>
                <w:r>
                  <w:rPr>
                    <w:rFonts w:eastAsia="Times New Roman" w:cs="Times New Roman"/>
                    <w:kern w:val="0"/>
                    <w:szCs w:val="20"/>
                    <w:lang w:val="es-ES" w:eastAsia="es-ES" w:bidi="ar-SA"/>
                  </w:rPr>
                  <w:t>2</w:t>
                </w:r>
                <w:r>
                  <w:rPr>
                    <w:rFonts w:eastAsia="Times New Roman" w:cs="Times New Roman"/>
                    <w:kern w:val="0"/>
                    <w:szCs w:val="20"/>
                    <w:lang w:val="es-ES" w:eastAsia="es-ES" w:bidi="ar-SA"/>
                  </w:rPr>
                  <w:t>, 202</w:t>
                </w:r>
                <w:r>
                  <w:rPr>
                    <w:rFonts w:eastAsia="Times New Roman" w:cs="Times New Roman"/>
                    <w:kern w:val="0"/>
                    <w:szCs w:val="20"/>
                    <w:lang w:val="es-ES" w:eastAsia="es-ES" w:bidi="ar-SA"/>
                  </w:rPr>
                  <w:t>5</w:t>
                </w:r>
                <w:r>
                  <w:rPr>
                    <w:rFonts w:eastAsia="Times New Roman" w:cs="Times New Roman"/>
                    <w:kern w:val="0"/>
                    <w:szCs w:val="20"/>
                    <w:lang w:val="es-ES" w:eastAsia="es-ES" w:bidi="ar-SA"/>
                  </w:rPr>
                  <w:t>-</w:t>
                </w:r>
                <w:r>
                  <w:rPr>
                    <w:rFonts w:eastAsia="Times New Roman" w:cs="Times New Roman"/>
                    <w:kern w:val="0"/>
                    <w:szCs w:val="20"/>
                    <w:lang w:val="es-ES" w:eastAsia="es-ES" w:bidi="ar-SA"/>
                  </w:rPr>
                  <w:t>1</w:t>
                </w:r>
                <w:r>
                  <w:rPr/>
                </w:r>
              </w:sdtContent>
            </w:sdt>
          </w:p>
        </w:tc>
        <w:tc>
          <w:tcPr>
            <w:tcW w:w="1931"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Código curso:</w:t>
            </w:r>
          </w:p>
        </w:tc>
        <w:tc>
          <w:tcPr>
            <w:tcW w:w="2979" w:type="dxa"/>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
                <w:r>
                  <w:rPr/>
                </w:r>
              </w:sdtContent>
            </w:sdt>
            <w:r>
              <w:rPr>
                <w:rFonts w:eastAsia="Times New Roman" w:cs="Times New Roman"/>
                <w:kern w:val="0"/>
                <w:szCs w:val="20"/>
                <w:lang w:val="es-ES" w:eastAsia="es-ES" w:bidi="ar-SA"/>
              </w:rPr>
              <w:t>2097503.</w:t>
            </w:r>
          </w:p>
        </w:tc>
      </w:tr>
      <w:tr>
        <w:trPr>
          <w:trHeight w:val="926" w:hRule="atLeast"/>
        </w:trPr>
        <w:tc>
          <w:tcPr>
            <w:tcW w:w="2555" w:type="dxa"/>
            <w:gridSpan w:val="2"/>
            <w:tcBorders>
              <w:top w:val="single" w:sz="4" w:space="0" w:color="7F7F7F"/>
              <w:left w:val="single" w:sz="4" w:space="0" w:color="7F7F7F"/>
              <w:bottom w:val="single" w:sz="4" w:space="0" w:color="404040"/>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Tipo de curso:</w:t>
            </w:r>
          </w:p>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2"/>
                <w:lang w:val="es-ES" w:eastAsia="es-ES" w:bidi="ar-SA"/>
              </w:rPr>
              <w:t xml:space="preserve">  </w:t>
            </w:r>
            <w:sdt>
              <w:sdtP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r>
                  <w:rPr/>
                </w:r>
              </w:sdtContent>
            </w:sdt>
          </w:p>
        </w:tc>
        <w:tc>
          <w:tcPr>
            <w:tcW w:w="3030" w:type="dxa"/>
            <w:gridSpan w:val="4"/>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10" w:type="dxa"/>
            <w:gridSpan w:val="2"/>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Profesional</w:t>
                </w:r>
                <w:r>
                  <w:rPr/>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r>
                  <w:rPr/>
                </w:r>
              </w:sdtContent>
            </w:sdt>
          </w:p>
          <w:p>
            <w:pPr>
              <w:pStyle w:val="Normal"/>
              <w:widowControl/>
              <w:suppressAutoHyphens w:val="true"/>
              <w:spacing w:before="0" w:after="160"/>
              <w:contextualSpacing/>
              <w:jc w:val="left"/>
              <w:rPr>
                <w:rFonts w:ascii="Calibri" w:hAnsi="Calibri" w:eastAsia="Calibri" w:cs="Calibri"/>
                <w:b/>
                <w:bCs/>
                <w:color w:themeColor="dark1" w:val="000000"/>
                <w:sz w:val="20"/>
                <w:lang w:val="es-CO"/>
              </w:rPr>
            </w:pPr>
            <w:r>
              <w:rPr>
                <w:rFonts w:eastAsia="Calibri" w:cs="Calibri" w:ascii="Calibri" w:hAnsi="Calibri"/>
                <w:b/>
                <w:bCs/>
                <w:color w:themeColor="dark1" w:val="000000"/>
                <w:sz w:val="20"/>
                <w:lang w:val="es-CO"/>
              </w:rPr>
            </w:r>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MS Gothic" w:cs="Segoe UI Symbol" w:ascii="Segoe UI Symbol" w:hAnsi="Segoe UI Symbol"/>
                    <w:kern w:val="0"/>
                    <w:sz w:val="22"/>
                    <w:szCs w:val="22"/>
                    <w:lang w:val="es-ES" w:eastAsia="es-ES" w:bidi="ar-SA"/>
                  </w:rPr>
                </w:r>
                <w:r>
                  <w:rPr>
                    <w:rFonts w:eastAsia="MS Gothic" w:cs="Segoe UI Symbol" w:ascii="Segoe UI Symbol" w:hAnsi="Segoe UI Symbol"/>
                    <w:kern w:val="0"/>
                    <w:sz w:val="22"/>
                    <w:szCs w:val="22"/>
                    <w:lang w:val="es-ES" w:eastAsia="es-ES" w:bidi="ar-SA"/>
                  </w:rPr>
                  <w:t>☐</w:t>
                </w:r>
                <w:r>
                  <w:rPr/>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MS Gothic" w:cs="Segoe UI Symbol" w:ascii="Segoe UI Symbol" w:hAnsi="Segoe UI Symbol"/>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r>
                  <w:rPr/>
                </w:r>
              </w:sdtContent>
            </w:sdt>
          </w:p>
        </w:tc>
      </w:tr>
      <w:tr>
        <w:trPr>
          <w:trHeight w:val="647" w:hRule="atLeast"/>
        </w:trPr>
        <w:tc>
          <w:tcPr>
            <w:tcW w:w="10495" w:type="dxa"/>
            <w:gridSpan w:val="8"/>
            <w:tcBorders>
              <w:top w:val="single" w:sz="4" w:space="0" w:color="7F7F7F"/>
              <w:left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r>
                  <w:rPr/>
                </w:r>
              </w:sdtContent>
            </w:sdt>
          </w:p>
          <w:p>
            <w:pPr>
              <w:pStyle w:val="Normal"/>
              <w:widowControl/>
              <w:suppressAutoHyphens w:val="true"/>
              <w:spacing w:before="0" w:after="0"/>
              <w:jc w:val="left"/>
              <w:rPr>
                <w:rFonts w:ascii="Calibri" w:hAnsi="Calibri"/>
                <w:sz w:val="22"/>
                <w:szCs w:val="22"/>
              </w:rPr>
            </w:pPr>
            <w:sdt>
              <w:sdtPr>
                <w:id w:val="17920583"/>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En caso de elegir “Otra”, indique cuál.</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rPr>
            </w:pPr>
            <w:r>
              <w:rPr>
                <w:rFonts w:ascii="Calibri" w:hAnsi="Calibri"/>
              </w:rPr>
            </w:r>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40"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r>
                  <w:rPr/>
                </w:r>
              </w:sdtContent>
            </w:sdt>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40"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3</w:t>
                </w:r>
                <w:r>
                  <w:rPr/>
                </w:r>
              </w:sdtContent>
            </w:sdt>
          </w:p>
        </w:tc>
      </w:tr>
      <w:tr>
        <w:trPr>
          <w:trHeight w:val="510" w:hRule="atLeast"/>
        </w:trPr>
        <w:tc>
          <w:tcPr>
            <w:tcW w:w="5248"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kern w:val="0"/>
                <w:szCs w:val="20"/>
                <w:lang w:val="es-ES" w:eastAsia="es-ES" w:bidi="ar-SA"/>
              </w:rPr>
              <w:t xml:space="preserve"> </w:t>
            </w:r>
            <w:sdt>
              <w:sdtPr>
                <w:id w:val="-2119747275"/>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r>
                  <w:rPr/>
                </w:r>
              </w:sdtContent>
            </w:sdt>
          </w:p>
        </w:tc>
        <w:tc>
          <w:tcPr>
            <w:tcW w:w="5247"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64</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kern w:val="0"/>
                <w:szCs w:val="20"/>
                <w:lang w:val="es-ES" w:eastAsia="es-ES" w:bidi="ar-SA"/>
              </w:rPr>
              <w:t xml:space="preserve"> </w:t>
            </w:r>
            <w:sdt>
              <w:sdtPr>
                <w:id w:val="-876316229"/>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Número (suma de las horas de interacción estudiante-profesor y de trabajo independiente).</w:t>
                </w:r>
                <w:r>
                  <w:rPr/>
                </w:r>
              </w:sdtContent>
            </w:sdt>
          </w:p>
        </w:tc>
      </w:tr>
      <w:tr>
        <w:trPr>
          <w:trHeight w:val="510" w:hRule="atLeast"/>
        </w:trPr>
        <w:tc>
          <w:tcPr>
            <w:tcW w:w="5248"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kern w:val="0"/>
                <w:szCs w:val="20"/>
                <w:lang w:val="es-ES" w:eastAsia="es-ES" w:bidi="ar-SA"/>
              </w:rPr>
              <w:t xml:space="preserve"> </w:t>
            </w:r>
            <w:sdt>
              <w:sdtPr>
                <w:id w:val="1265809342"/>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r>
                  <w:rPr/>
                </w:r>
              </w:sdtContent>
            </w:sdt>
          </w:p>
        </w:tc>
        <w:tc>
          <w:tcPr>
            <w:tcW w:w="5247"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kern w:val="0"/>
                <w:szCs w:val="20"/>
                <w:lang w:val="es-ES" w:eastAsia="es-ES" w:bidi="ar-SA"/>
              </w:rPr>
              <w:t xml:space="preserve"> </w:t>
            </w:r>
            <w:sdt>
              <w:sdtPr>
                <w:id w:val="1788384500"/>
                <w:showingPlcHd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r>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cs="Calibri"/>
                <w:b/>
                <w:sz w:val="22"/>
                <w:szCs w:val="22"/>
              </w:rPr>
            </w:pPr>
            <w:r>
              <w:rPr>
                <w:rFonts w:eastAsia="Times New Roman" w:cs="Calibri" w:ascii="Calibri" w:hAnsi="Calibr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b/>
                <w:bCs/>
              </w:rPr>
            </w:pPr>
            <w:r>
              <w:rPr>
                <w:rFonts w:ascii="Calibri" w:hAnsi="Calibri"/>
                <w:b/>
                <w:bCs/>
                <w:sz w:val="22"/>
                <w:szCs w:val="22"/>
              </w:rPr>
              <w:t>Propósito del Curso de Desarrollo del Pensamiento Computacional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tiene como objetivo principal introducir a los estudiantes de pedagogía infantil en las bases del pensamiento computacional, con un enfoque adaptado a la etapa de la infancia. Busca desarrollar habilidades cognitivas, lógicas y creativas desde temprana edad, fomentando la resolución de problemas y la comprensión de conceptos fundamentales relacionados con la informática.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Además, se busca integrar de manera efectiva las herramientas tecnológicas en el proceso educativo, preparando a los futuros pedagogos para potenciar el pensamiento computacional en sus estudiantes.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Secundaria:**</w:t>
            </w:r>
          </w:p>
          <w:p>
            <w:pPr>
              <w:pStyle w:val="Normal"/>
              <w:widowControl/>
              <w:suppressAutoHyphens w:val="true"/>
              <w:spacing w:before="0" w:after="0"/>
              <w:jc w:val="both"/>
              <w:rPr>
                <w:rFonts w:ascii="Calibri" w:hAnsi="Calibri"/>
                <w:sz w:val="22"/>
                <w:szCs w:val="22"/>
              </w:rPr>
            </w:pPr>
            <w:r>
              <w:rPr>
                <w:rFonts w:ascii="Calibri" w:hAnsi="Calibri"/>
                <w:sz w:val="22"/>
                <w:szCs w:val="22"/>
              </w:rPr>
              <w:t>En secundaria, el curso tiene como propósito avanzar en la construcción y aplicación práctica de habilidades de pensamiento computacional. Se busca profundizar en la comprensión de algoritmos, abstracción, descomposición de problemas y la resolución de problemas más complejos. Además, se enfocará en la aplicación de estas habilidades en contextos del mundo real, promoviendo la capacidad de los estudiantes para utilizar la tecnología de manera crítica y creativa en su vida cotidiana y futuros estudios.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la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El curso en la universidad tiene como objetivo consolidar y especializar el pensamiento computacional en los futuros pedagogos infantiles. Se busca que los estudiantes adquieran un conocimiento profundo de las teorías y prácticas actuales en el desarrollo del pensamiento computacional, y que estén capacitados para diseñar estrategias pedagógicas innovadoras y programas educativos que incorporen efectivamente estos principios. Además, se espera que los graduados estén preparados para contribuir al avance de la investigación en el campo.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**Metodología del Curso con las 10 Fases para la Revisión Bibliográfica:**</w:t>
            </w:r>
          </w:p>
          <w:p>
            <w:pPr>
              <w:pStyle w:val="Normal"/>
              <w:widowControl/>
              <w:suppressAutoHyphens w:val="true"/>
              <w:spacing w:before="0" w:after="0"/>
              <w:jc w:val="both"/>
              <w:rPr>
                <w:rFonts w:ascii="Calibri" w:hAnsi="Calibri"/>
                <w:sz w:val="22"/>
                <w:szCs w:val="22"/>
              </w:rPr>
            </w:pPr>
            <w:r>
              <w:rPr>
                <w:rFonts w:ascii="Calibri" w:hAnsi="Calibri"/>
                <w:sz w:val="22"/>
                <w:szCs w:val="22"/>
              </w:rPr>
              <w:t>La metodología del curso sigue las 10 fases para la revisión bibliográfica, utilizando este enfoque sistemático para mantenerse actualizado sobre los avances más recientes en el desarrollo del pensamiento computacional. Estas fases incluyen desde la definición del alcance hasta la síntesis y redacción de la revisión bibliográfica. Se anima a los estudiantes a explorar estudios, proyectos y enfoques pedagógicos que hayan emergido en los últimos cinco años, identificando tendencias, vacíos en la investigación y aplicaciones prácticas relevantes para la pedagogía infantil. La metodología busca equipar a los futuros pedagogos con las herramientas necesarias para adaptarse a un campo en constante evolución y aplicar las últimas investigaciones en sus prácticas pedagógicas.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**Elementos Orientadores del Curso en Pedagogía Infantil: Desarrollo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**Problemas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Identificación de barreras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de desafíos en la adaptación de estrategias pedagógicas para fomentar el pensamiento computacional en contextos educativos diversos.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Análisis de la falta de recursos y formación específica para los docentes en la enseñanza de habilidades computacionales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**Propósitos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Formar pedagogos infantiles capaces de integrar el pensamiento computacional en el diseño de programas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los estudiantes para adaptar estrategias pedagógicas que promuevan el pensamiento computacional desde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Proporcionar herramientas para abordar retos específicos en la enseñanza de habilidades computacionales en el contexto educativo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**Objetivos:**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Comprender los fundamentos teóricos del pensamiento computacional aplicados a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Diseñar actividades y materiales educativos que fomenten el pensamiento computacional en niños de diferentes edades.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la efectividad de enfoques pedagógicos existentes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**Capacidades y Competencias:**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diseñar e implementar actividades didácticas que promuevan el pensamiento algorítmico y la resolución de problemas desde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Fomentar la competencia en el uso de herramientas tecnológicas adaptadas a la edad de los niños para potenciar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habilidades de evaluación que permitan medir el progreso en la adquisición de habilidades computacionales por parte de los niños.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5. **Metodología de Rastreo Bibliográfico:**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Aplicar la metodología de las 10 fases para la revisión bibliográfica en el contexto específico de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Identificar literatura relevante que aborde las particularidades del desarrollo del pensamiento computacional en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cómo las investigaciones recientes en primaria y secundaria pueden ser adaptadas y aplicadas a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Estos elementos orientadores buscan proporcionar un marco sólido para el diseño y desarrollo del curso, asegurando que los futuros pedagogos infantiles adquieran las habilidades necesarias para integrar el pensamiento computacional de manera efectiva en su práctica educativa.</w:t>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Integral: Racionalidades Ética, Política, Estética y Lógica**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**Racionalidad 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El curso promueve la reflexión ética en el uso de la tecnología y el pensamiento computacional en la educación, sensibilizando a los estudiantes sobre las implicaciones éticas de su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Incluye debates sobre la equidad en el acceso a la educación digital, la privacidad de los estudiantes y la responsabilidad en el uso de herramientas tecnológicas en el aula.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**Racionalidad Política:**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cuestiones políticas relacionadas con la inclusión digital y la brecha tecnológica en la educación.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Examina las políticas educativas y los marcos regulatorios en Hispanoamérica que afectan la implementación del pensamiento computacional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**Racionalidad Estética:**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la creatividad y la estética en el diseño de actividades y materiales educativos relacionados con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 la dimensión estética de la programación y la resolución de problemas, fomentando la apreciación de la belleza en el mundo digital.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**Racionalidad Lógica:**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lógicas a través de la programación y la resolución de problemas, cultivando la capacidad de pensar de manera estructurada y analítica.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la lógica algorítmica y la toma de decisiones informáticas, promoviendo la aplicación de razonamientos lógicos en la 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en Investigación: Intencionalidades Formativas y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**Intencionalidades Formativas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Incentiva la actitud investigativa al fomentar la revisión bibliográfica y el análisis crítico de la literatura científica.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de diseño y ejecución de investigaciones aplicadas al contexto educativo, permitiendo a los estudiantes contribuir al avance del conocimiento en el área.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Se enfoca en la comprensión profunda de las investigaciones más recientes sobre el pensamiento computacional en Hispanoamérica, aplicando un enfoque crítico y reflexivo.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conocimientos interdisciplinarios al explorar cómo el pensamiento computacional se relaciona con áreas como la psicología cognitiva, la pedagogía y la tecnología educativa.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**Aplicación Práctica de la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 la aplicación práctica de los conocimientos adquiridos en investigaciones y proyectos concretos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la capacidad de los estudiantes para adaptar y aplicar investigaciones existentes en el contexto específico de la educación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a través de estos aportes, busca no solo desarrollar habilidades técnicas en pensamiento computacional sino también cultivar una perspectiva ética, política, estética y lógica, así como habilidades de investigación que enriquezcan la formación integral de los estudiantes de pedagogía infantil.</w:t>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**Ejes Problemáticos:**</w:t>
            </w:r>
          </w:p>
          <w:p>
            <w:pPr>
              <w:pStyle w:val="Normal"/>
              <w:widowControl/>
              <w:suppressAutoHyphens w:val="true"/>
              <w:spacing w:before="0" w:after="0"/>
              <w:jc w:val="both"/>
              <w:rPr>
                <w:rFonts w:ascii="Calibri" w:hAnsi="Calibri"/>
                <w:sz w:val="22"/>
                <w:szCs w:val="22"/>
              </w:rPr>
            </w:pPr>
            <w:r>
              <w:rPr>
                <w:rFonts w:ascii="Calibri" w:hAnsi="Calibri"/>
                <w:sz w:val="22"/>
                <w:szCs w:val="22"/>
              </w:rPr>
              <w:t>1. **Integración Curricular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Desarrollar estrategias para integrar el pensamiento computacional de manera efectiva en el currículo educativo de primaria, secundaria y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Analizar las barreras y oportunidades en la integración curricular, considerando aspectos como el tiempo dedicado, la formación docente y la disponibilidad de recursos.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**Brecha Digital y Acceso Equitativo:**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Abordar la brecha digital y garantizar el acceso equitativo al pensamiento computacional en diferentes entornos educativos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Explorar estrategias para superar las disparidades en el acceso a la tecnología y programas educativos, considerando contextos socioeconómicos diversos.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**Formación Docente en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Identificar las necesidades de formación docente para integrar efectivamente el pensamiento computacional en la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Diseñar programas de formación que aborden las habilidades específicas que los docentes necesitan desarrollar para enseñar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**Saberes:**</w:t>
            </w:r>
          </w:p>
          <w:p>
            <w:pPr>
              <w:pStyle w:val="Normal"/>
              <w:widowControl/>
              <w:suppressAutoHyphens w:val="true"/>
              <w:spacing w:before="0" w:after="0"/>
              <w:jc w:val="both"/>
              <w:rPr>
                <w:rFonts w:ascii="Calibri" w:hAnsi="Calibri"/>
                <w:sz w:val="22"/>
                <w:szCs w:val="22"/>
              </w:rPr>
            </w:pPr>
            <w:r>
              <w:rPr>
                <w:rFonts w:ascii="Calibri" w:hAnsi="Calibri"/>
                <w:sz w:val="22"/>
                <w:szCs w:val="22"/>
              </w:rPr>
              <w:t>1. **Teorías del Desarrollo Cognitivo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teorías que fundamentan el desarrollo cognitivo en la infancia y cómo se relacionan con la introducción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**Metodologías Activas de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metodologías pedagógicas que favorecen la participación activa del estudiante en el proceso de aprendizaje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**Fundamentos de Programación y Algoritmia:**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Adquisición de conocimientos sólidos en fundamentos de programación y algoritmia aplicados a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**Proyectos:**</w:t>
            </w:r>
          </w:p>
          <w:p>
            <w:pPr>
              <w:pStyle w:val="Normal"/>
              <w:widowControl/>
              <w:suppressAutoHyphens w:val="true"/>
              <w:spacing w:before="0" w:after="0"/>
              <w:jc w:val="both"/>
              <w:rPr>
                <w:rFonts w:ascii="Calibri" w:hAnsi="Calibri"/>
                <w:sz w:val="22"/>
                <w:szCs w:val="22"/>
              </w:rPr>
            </w:pPr>
            <w:r>
              <w:rPr>
                <w:rFonts w:ascii="Calibri" w:hAnsi="Calibri"/>
                <w:sz w:val="22"/>
                <w:szCs w:val="22"/>
              </w:rPr>
              <w:t>1. **Diseño de Materiales Educativos Interactivos:**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Desarrollo de proyectos para diseñar materiales educativos interactivos que promuevan el pensamiento computacional en estudiantes de primaria.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**Implementación de Programas Piloto en Centros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Diseño e implementación de programas piloto en centros educativos para evaluar la efectividad de estrategias de enseñanza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**Evaluación de Impacto en el Desarrollo Cognitivo:**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Proyectos de investigación que evalúen el impacto del pensamiento computacional en el desarrollo cognitivo de los estudiantes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**Contenidos o Temas:**</w:t>
            </w:r>
          </w:p>
          <w:p>
            <w:pPr>
              <w:pStyle w:val="Normal"/>
              <w:widowControl/>
              <w:suppressAutoHyphens w:val="true"/>
              <w:spacing w:before="0" w:after="0"/>
              <w:jc w:val="both"/>
              <w:rPr>
                <w:rFonts w:ascii="Calibri" w:hAnsi="Calibri"/>
                <w:sz w:val="22"/>
                <w:szCs w:val="22"/>
              </w:rPr>
            </w:pPr>
            <w:r>
              <w:rPr>
                <w:rFonts w:ascii="Calibri" w:hAnsi="Calibri"/>
                <w:sz w:val="22"/>
                <w:szCs w:val="22"/>
              </w:rPr>
              <w:t>1. **Modelos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modelos conceptuales que describen el pensamiento computacional y sus componentes.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**Herramientas Tecnológicas Educativas:**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herramientas tecnológicas educativas que facilitan la enseñanza del pensamiento computacional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**Desarrollo de Habilidades de Resolución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t>- Enseñanza de estrategias y técnicas para desarrollar habilidades de resolución de problemas a través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Introducción de los fundamentos de los números reales (https://github.com/marco-canas/calculo/blob/main/referents/precalculo_stewart/James%20Stewart_%20Saleem%20Watson_%20Lothar%20Redlin%20-%20Prec%C3%A1lculo_%20matem%C3%A1ticas%20para%20el%20c%C3%A1lculo-Cengage%20(2017).pdf) como campo algebraico.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Este enfoque multidimensional aborda los aspectos teóricos, prácticos y sociales del desarrollo del pensamiento computacional en primaria, secundaria y universidad en Hispanoamérica, integrando el rastreo bibliográfico como una herramienta fundamental para mantenerse actualizado sobre los avances en los últimos cinco años.</w:t>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METODOLOGÍA</w:t>
            </w:r>
            <w:r>
              <w:rPr>
                <w:rStyle w:val="FootnoteReference"/>
                <w:rFonts w:eastAsia="Times New Roman" w:ascii="Calibri" w:hAnsi="Calibr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contextualSpacing/>
              <w:jc w:val="both"/>
              <w:rPr>
                <w:rFonts w:ascii="Calibri" w:hAnsi="Calibri"/>
              </w:rPr>
            </w:pPr>
            <w:r>
              <w:rPr>
                <w:rFonts w:eastAsia="Times New Roman" w:cs="Times New Roman" w:ascii="Calibri" w:hAnsi="Calibr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Clase magistral </w:t>
            </w:r>
            <w:sdt>
              <w:sdtPr>
                <w:id w:val="-779498080"/>
                <w14:checkbox>
                  <w14:checked w14:val="0"/>
                  <w14:checkedState w14:val="2612"/>
                  <w14:uncheckedState w14:val="2610"/>
                </w14:checkbox>
              </w:sdtPr>
              <w:sdtContent>
                <w:r>
                  <w:rPr>
                    <w:rFonts w:eastAsia="MS Gothic" w:cs="Times New Roman" w:ascii="MS Gothic" w:hAnsi="MS Gothic"/>
                    <w:kern w:val="0"/>
                    <w:szCs w:val="20"/>
                    <w:lang w:val="es-ES" w:eastAsia="es-ES" w:bidi="ar-SA"/>
                  </w:rPr>
                </w:r>
                <w:r>
                  <w:rPr>
                    <w:rFonts w:eastAsia="MS Gothic" w:cs="Times New Roman" w:ascii="MS Gothic" w:hAnsi="MS Gothic"/>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Salida de campo </w:t>
            </w:r>
            <w:sdt>
              <w:sdtPr>
                <w:id w:val="-1326056829"/>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Taller </w:t>
            </w:r>
            <w:sdt>
              <w:sdtPr>
                <w:id w:val="-161266259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w:t>
            </w:r>
            <w:r>
              <w:rPr>
                <w:rFonts w:eastAsia="Times New Roman" w:cs="Verdana" w:ascii="Calibri" w:hAnsi="Calibr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Segoe UI Symbol" w:ascii="Segoe UI Symbol" w:hAnsi="Segoe UI Symbol"/>
                    <w:kern w:val="0"/>
                    <w:sz w:val="22"/>
                    <w:szCs w:val="22"/>
                    <w:lang w:val="es-ES" w:eastAsia="es-ES" w:bidi="ar-SA"/>
                  </w:rPr>
                </w:r>
                <w:r>
                  <w:rPr>
                    <w:rFonts w:eastAsia="Times New Roman" w:cs="Segoe UI Symbol" w:ascii="Segoe UI Symbol" w:hAnsi="Segoe UI Symbol"/>
                    <w:kern w:val="0"/>
                    <w:sz w:val="22"/>
                    <w:szCs w:val="22"/>
                    <w:lang w:val="es-ES" w:eastAsia="es-ES" w:bidi="ar-SA"/>
                  </w:rPr>
                  <w:t>☐</w:t>
                </w:r>
                <w:r>
                  <w:rPr/>
                </w:r>
              </w:sdtContent>
            </w:sdt>
            <w:r>
              <w:rPr>
                <w:rFonts w:eastAsia="Times New Roman" w:cs="Verdana" w:ascii="Calibri" w:hAnsi="Calibri"/>
                <w:kern w:val="0"/>
                <w:sz w:val="22"/>
                <w:szCs w:val="22"/>
                <w:lang w:val="es-ES" w:eastAsia="es-ES" w:bidi="ar-SA"/>
              </w:rPr>
              <w:t xml:space="preserve">    </w:t>
            </w:r>
            <w:sdt>
              <w:sdtPr>
                <w:id w:val="1575464573"/>
              </w:sdtPr>
              <w:sdtContent>
                <w:r>
                  <w:rPr>
                    <w:rFonts w:eastAsia="Times New Roman" w:cs="Verdana" w:ascii="Calibri" w:hAnsi="Calibri"/>
                    <w:kern w:val="0"/>
                    <w:sz w:val="22"/>
                    <w:szCs w:val="22"/>
                    <w:lang w:val="es-ES" w:eastAsia="es-ES" w:bidi="ar-SA"/>
                  </w:rPr>
                </w:r>
                <w:r>
                  <w:rPr>
                    <w:rFonts w:eastAsia="Times New Roman" w:cs="Verdana" w:ascii="Calibri" w:hAnsi="Calibri"/>
                    <w:kern w:val="0"/>
                    <w:sz w:val="22"/>
                    <w:szCs w:val="22"/>
                    <w:lang w:val="es-ES" w:eastAsia="es-ES" w:bidi="ar-SA"/>
                  </w:rPr>
                  <w:t>Escriba el nombre de la estrategia.</w:t>
                </w:r>
                <w:r>
                  <w:rPr/>
                </w:r>
              </w:sdtContent>
            </w:sdt>
          </w:p>
          <w:p>
            <w:pPr>
              <w:pStyle w:val="Normal"/>
              <w:widowControl/>
              <w:suppressAutoHyphens w:val="true"/>
              <w:spacing w:before="0" w:after="0"/>
              <w:contextualSpacing/>
              <w:jc w:val="both"/>
              <w:rPr>
                <w:rFonts w:ascii="Calibri" w:hAnsi="Calibri" w:cs="Calibri"/>
                <w:sz w:val="22"/>
                <w:szCs w:val="22"/>
              </w:rPr>
            </w:pPr>
            <w:r>
              <w:rPr>
                <w:rFonts w:cs="Calibri" w:ascii="Calibri" w:hAnsi="Calibri"/>
                <w:sz w:val="22"/>
                <w:szCs w:val="22"/>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Cada clase de 4 horas se dividirá en dos momentos: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Un momento de discusión de lectura de artículos, concibiendo a cada estudiante del curso como un docente investigador.</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Un segundo momento de poner en práctica la enseñanza de el desarrollo del pensamiento computacional.</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Abordar un rastreo bibliográfico para establecer un estado del arte sobre el desarrollo del pensamiento computacional en primaria, bachillerato y universidad en hispanoamérica implica seguir los pasos sistemáticos: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**Definir el alcance de tu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Establece claramente los niveles educativos que deseas abordar (Educación preescolar, primaria, bachillerato, universidad).</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Define el periodo de tiempo que abarcará tu revisión bibliográfica. Del año 2000 al 2024.</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Especifica el enfoque del pensamiento computacional que te interesa explorar (puede incluir habilidades, metodologías, programas educativos, entre otros). Nos centraremos en el desarrollo de habilidades.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**Identificar palabras clave y conceptos relacionados:**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Determina las palabras clave y conceptos asociados al pensamiento computacional, la educación y Colombia. Por ejemplo: "pensamiento computacional", "educación primaria", "educación secundaria", "educación superior", "Colombia", etc.</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3. **Utilizar bases de datos académicas y bibliotecas digitales:**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Accede a bases de datos como PubMed, Scopus, IEEE Xplore, JSTOR y Google Scholar.</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Realiza búsquedas utilizando tus palabras clave y conceptos, combinándolos de diferentes maneras para obtener resultados exhaustivos.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4. **Refinar y filtrar los resultados:**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Evalúa la relevancia y calidad de los artículos encontrados.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Filtra por fecha, tipo de publicación, autores relevantes y revistas académicas de prestigio.</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5. **Revisar la literatura gris:**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informes técnicos, tesis y documentos de políticas educativas que podrían no estar en bases de datos académicas tradicionales.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6. **Realizar seguimientos de citas:**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Identifica artículos clave y revisa las listas de referencias para encontrar trabajos adicionales relacionados con tu tema.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7. **Explorar conferencias y eventos:**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actas de conferencias y eventos relacionados con la educación y el pensamiento computacional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8. **Consultar expertos:**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expertos en el campo y revisa sus contribuciones, así como sus recomendaciones de lectura.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9. **Organizar y sintetizar la información:**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Crea una matriz o esquema para organizar la información encontrada, identificando tendencias, enfoques, y vacíos en la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10. **Escribir la revisión bibliográfica:**</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Redacta tu revisión bibliográfica siguiendo una estructura lógica, presentando los hallazgos de manera clara y destacando las contribuciones más relevantes.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Recuerda ser sistemático, crítico y mantener actualizada tu búsqueda a medida que avanzas en tu investigación. Este proceso te permitirá obtener una visión integral del estado actual del pensamiento computacional en la educación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Times New Roman" w:hAnsi="Times New Roman"/>
                <w:color w:themeColor="dark1" w:val="000000"/>
                <w:szCs w:val="24"/>
              </w:rPr>
            </w:pPr>
            <w:r>
              <w:rPr>
                <w:rFonts w:ascii="Times New Roman" w:hAnsi="Times New Roman"/>
                <w:color w:themeColor="dark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5313"/>
        <w:gridCol w:w="5182"/>
      </w:tblGrid>
      <w:tr>
        <w:trPr>
          <w:trHeight w:val="244" w:hRule="atLeast"/>
        </w:trPr>
        <w:tc>
          <w:tcPr>
            <w:tcW w:w="10495"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5" w:type="dxa"/>
            <w:gridSpan w:val="2"/>
            <w:tcBorders>
              <w:top w:val="single" w:sz="4" w:space="0" w:color="7F7F7F"/>
              <w:left w:val="single" w:sz="4" w:space="0" w:color="7F7F7F"/>
              <w:bottom w:val="single" w:sz="4" w:space="0" w:color="000000"/>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5"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**Sugerencia de Evaluación: Proyecto Integrador "Diseño de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evaluación podría centrarse en un proyecto integrador que consista en el diseño de una unidad didáctica que incorpore de manera efectiva el pensamiento computacional en un nivel educativo específico (primaria, secundaria o universidad). Este proyecto permitirá evaluar no solo el conocimiento teórico adquirido sino también las habilidades prácticas y la capacidad de aplicar estrategias pedagógicas.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**Componentes del Proyecto:**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**Fundamentación Teórica:**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Justificación clara de la importancia del pensamiento computacional en el nivel educativo seleccionado.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Revisión bibliográfica actualizada sobre el desarrollo del pensamiento computacional en Hispanoamérica en los últimos cinco años.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**Objetivos de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Definición de objetivos específicos y medibles que se espera lograr con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**Diseño de Actividades:**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Desarrollo de actividades didácticas que integren el pensamiento computacional de manera contextualizada y adaptada al nivel educativo seleccionado.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del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Propuesta de métodos de evaluación que permitan medir el desarrollo del pensamiento computacional en los estudiantes.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criterios de evaluación que reflejen la integración exitosa de conceptos y habilidades.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**Recursos y Tecnologías:**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Identificación de recursos educativos y tecnologías que se utilizarán para implementar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**Adaptabilidad y Diversidad:**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estrategias para adaptar la unidad didáctica a la diversidad de los estudiantes, teniendo en cuenta diferentes estilos de aprendizaje y niveles de habilidad.</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7. **Reflexión Crítica:**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Inclusión de una sección de reflexión crítica que evalúe la efectividad de la unidad didáctica propuesta y sugiera posibles mejoras.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**Criterios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**Creatividad y Originalidad:**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originalidad en el diseño de actividades y enfoques pedagógicos.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**Coherencia Teórico-Práctica:**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Análisis de la coherencia entre la fundamentación teórica y la aplicación práctica en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**Relevancia e Impacto:**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relevancia y el impacto potencial de la unidad didáctica en el desarrollo del pensamiento computacional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**Adaptabilidad y Flexibilidad:**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capacidad para adaptar la unidad didáctica a diferentes contextos educativos y necesidades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de Reflexión:**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reflexión crítica sobre la efectividad de la unidad didáctica y las lecciones aprendidas durante el proceso de diseño.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Este proyecto integrador proporciona una evaluación holística y alinea las metas del curso con la aplicación práctica de los conocimientos adquiridos, promoviendo habilidades prácticas y el desarrollo de propuestas pedagógicas innovadoras.</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5"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5" w:type="dxa"/>
            <w:gridSpan w:val="2"/>
            <w:tcBorders>
              <w:top w:val="single" w:sz="4" w:space="0" w:color="000000"/>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Momentos de evaluación</w:t>
            </w:r>
          </w:p>
        </w:tc>
        <w:tc>
          <w:tcPr>
            <w:tcW w:w="518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Asistencia</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40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Entrega de unidad didáctica</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30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Tareas</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Quices</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10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W w:w="10490" w:type="dxa"/>
        <w:jc w:val="left"/>
        <w:tblInd w:w="-260" w:type="dxa"/>
        <w:tblLayout w:type="fixed"/>
        <w:tblCellMar>
          <w:top w:w="0" w:type="dxa"/>
          <w:left w:w="108" w:type="dxa"/>
          <w:bottom w:w="0" w:type="dxa"/>
          <w:right w:w="108" w:type="dxa"/>
        </w:tblCellMar>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Artículos de Jhony Alexander Villa Ochoa sobre desarrollo del pensamiento computacional en primaria y secundaria</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bl>
    <w:p>
      <w:pPr>
        <w:pStyle w:val="Normal"/>
        <w:rPr>
          <w:rFonts w:ascii="Calibri" w:hAnsi="Calibri"/>
        </w:rPr>
      </w:pPr>
      <w:r>
        <w:rPr>
          <w:rFonts w:ascii="Calibri" w:hAnsi="Calibri"/>
        </w:rPr>
      </w:r>
    </w:p>
    <w:tbl>
      <w:tblPr>
        <w:tblW w:w="10519" w:type="dxa"/>
        <w:jc w:val="left"/>
        <w:tblInd w:w="-260" w:type="dxa"/>
        <w:tblLayout w:type="fixed"/>
        <w:tblCellMar>
          <w:top w:w="0" w:type="dxa"/>
          <w:left w:w="108" w:type="dxa"/>
          <w:bottom w:w="0" w:type="dxa"/>
          <w:right w:w="108" w:type="dxa"/>
        </w:tblCellMar>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286"/>
        <w:gridCol w:w="3263"/>
        <w:gridCol w:w="282"/>
        <w:gridCol w:w="710"/>
        <w:gridCol w:w="941"/>
        <w:gridCol w:w="1467"/>
        <w:gridCol w:w="286"/>
        <w:gridCol w:w="2974"/>
        <w:gridCol w:w="286"/>
      </w:tblGrid>
      <w:tr>
        <w:trPr>
          <w:trHeight w:val="300" w:hRule="atLeast"/>
        </w:trPr>
        <w:tc>
          <w:tcPr>
            <w:tcW w:w="10495" w:type="dxa"/>
            <w:gridSpan w:val="9"/>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APROBACIÓN DEL CONSEJO DE UNIDAD ACADÉMICA</w:t>
            </w:r>
          </w:p>
        </w:tc>
      </w:tr>
      <w:tr>
        <w:trPr>
          <w:trHeight w:val="244" w:hRule="atLeast"/>
        </w:trPr>
        <w:tc>
          <w:tcPr>
            <w:tcW w:w="10495" w:type="dxa"/>
            <w:gridSpan w:val="9"/>
            <w:tcBorders>
              <w:top w:val="single" w:sz="4" w:space="0" w:color="7F7F7F"/>
              <w:left w:val="single" w:sz="4" w:space="0" w:color="7F7F7F"/>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sdt>
              <w:sdtPr>
                <w:id w:val="-1201389325"/>
                <w:showingPlcHd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r>
                  <w:rPr/>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r>
                  <w:rPr/>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left w:val="single" w:sz="4" w:space="0" w:color="7F7F7F"/>
            </w:tcBorders>
            <w:vAlign w:val="bottom"/>
          </w:tcPr>
          <w:p>
            <w:pPr>
              <w:pStyle w:val="Normal"/>
              <w:widowControl/>
              <w:suppressAutoHyphens w:val="true"/>
              <w:spacing w:before="0" w:after="0"/>
              <w:jc w:val="both"/>
              <w:rPr>
                <w:rFonts w:ascii="Calibri" w:hAnsi="Calibri" w:cs="Arial"/>
              </w:rPr>
            </w:pPr>
            <w:r>
              <w:rPr>
                <w:rFonts w:cs="Arial" w:ascii="Calibri" w:hAnsi="Calibri"/>
              </w:rPr>
            </w:r>
          </w:p>
        </w:tc>
        <w:tc>
          <w:tcPr>
            <w:tcW w:w="3263"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2"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6"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4"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6" w:type="dxa"/>
            <w:tcBorders>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left w:val="single" w:sz="4" w:space="0" w:color="7F7F7F"/>
            </w:tcBorders>
            <w:vAlign w:val="bottom"/>
          </w:tcPr>
          <w:p>
            <w:pPr>
              <w:pStyle w:val="Normal"/>
              <w:widowControl/>
              <w:suppressAutoHyphens w:val="true"/>
              <w:spacing w:before="0" w:after="0"/>
              <w:jc w:val="left"/>
              <w:rPr>
                <w:rFonts w:ascii="Calibri" w:hAnsi="Calibri" w:cs="Arial"/>
              </w:rPr>
            </w:pPr>
            <w:r>
              <w:rPr>
                <w:rFonts w:cs="Arial" w:ascii="Calibri" w:hAnsi="Calibri"/>
              </w:rPr>
            </w:r>
          </w:p>
        </w:tc>
        <w:tc>
          <w:tcPr>
            <w:tcW w:w="3263"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2"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6"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4"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6" w:type="dxa"/>
            <w:tcBorders>
              <w:right w:val="single" w:sz="4" w:space="0" w:color="7F7F7F"/>
            </w:tcBorders>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left w:val="single" w:sz="4" w:space="0" w:color="7F7F7F"/>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1"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3" w:type="dxa"/>
            <w:gridSpan w:val="4"/>
            <w:tcBorders>
              <w:bottom w:val="single" w:sz="4" w:space="0" w:color="7F7F7F"/>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Notas del primer artículo</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Análisis documental</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headerReference w:type="default" r:id="rId3"/>
      <w:footerReference w:type="default" r:id="rId4"/>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sz w:val="16"/>
          <w:szCs w:val="16"/>
        </w:rPr>
      </w:pPr>
      <w:r>
        <w:rPr>
          <w:rStyle w:val="FootnoteCharacters1"/>
        </w:rPr>
        <w:footnoteRef/>
      </w:r>
      <w:r>
        <w:rPr>
          <w:rFonts w:cs="Calibri" w:ascii="Calibri" w:hAnsi="Calibri"/>
          <w:sz w:val="16"/>
          <w:szCs w:val="16"/>
        </w:rPr>
        <w:t xml:space="preserve"> </w:t>
      </w:r>
      <w:r>
        <w:rPr>
          <w:rFonts w:cs="Calibri" w:ascii="Calibri" w:hAnsi="Calibri"/>
          <w:sz w:val="16"/>
          <w:szCs w:val="16"/>
        </w:rPr>
        <w:t xml:space="preserve">La política de créditos de la Universidad de Antioquia se puede consultar en el siguiente enlace: </w:t>
      </w:r>
      <w:hyperlink r:id="rId1">
        <w:r>
          <w:rPr>
            <w:rStyle w:val="Hyperlink"/>
            <w:rFonts w:cs="Calibri" w:ascii="Calibri" w:hAnsi="Calibri"/>
            <w:sz w:val="16"/>
            <w:szCs w:val="16"/>
          </w:rPr>
          <w:t>https://www.udea.edu.co/wps/portal/udea/web/inicio/docencia</w:t>
        </w:r>
      </w:hyperlink>
    </w:p>
  </w:footnote>
  <w:footnote w:id="3">
    <w:p>
      <w:pPr>
        <w:pStyle w:val="FootnoteText"/>
        <w:jc w:val="both"/>
        <w:rPr>
          <w:rFonts w:ascii="Calibri" w:hAnsi="Calibri" w:cs="Calibri"/>
          <w:sz w:val="16"/>
          <w:szCs w:val="16"/>
        </w:rPr>
      </w:pPr>
      <w:r>
        <w:rPr>
          <w:rStyle w:val="FootnoteCharacters1"/>
        </w:rPr>
        <w:footnoteRef/>
      </w:r>
      <w:r>
        <w:rPr>
          <w:rFonts w:cs="Calibri" w:ascii="Calibri" w:hAnsi="Calibri"/>
          <w:sz w:val="16"/>
          <w:szCs w:val="16"/>
        </w:rPr>
        <w:t xml:space="preserve"> </w:t>
      </w:r>
      <w:r>
        <w:rPr>
          <w:rFonts w:cs="Calibri" w:ascii="Calibri" w:hAnsi="Calibr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1"/>
        </w:rPr>
        <w:footnoteRef/>
      </w:r>
      <w:r>
        <w:rPr/>
        <w:t xml:space="preserve"> </w:t>
      </w:r>
      <w:r>
        <w:rPr>
          <w:rFonts w:cs="Calibri" w:ascii="Calibri" w:hAnsi="Calibr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sz w:val="16"/>
          <w:szCs w:val="16"/>
        </w:rPr>
      </w:pPr>
      <w:r>
        <w:rPr>
          <w:rStyle w:val="FootnoteCharacters1"/>
        </w:rPr>
        <w:footnoteRef/>
      </w:r>
      <w:r>
        <w:rPr>
          <w:rFonts w:cs="Calibri" w:ascii="Calibri" w:hAnsi="Calibri"/>
          <w:sz w:val="16"/>
          <w:szCs w:val="16"/>
        </w:rPr>
        <w:t xml:space="preserve"> </w:t>
      </w:r>
      <w:r>
        <w:rPr>
          <w:rFonts w:cs="Calibri" w:ascii="Calibri" w:hAnsi="Calibr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sz w:val="16"/>
          <w:szCs w:val="16"/>
        </w:rPr>
      </w:pPr>
      <w:r>
        <w:rPr>
          <w:rStyle w:val="FootnoteCharacters1"/>
        </w:rPr>
        <w:footnoteRef/>
      </w:r>
      <w:r>
        <w:rPr>
          <w:rFonts w:cs="Calibri" w:ascii="Calibri" w:hAnsi="Calibri"/>
          <w:sz w:val="16"/>
          <w:szCs w:val="16"/>
        </w:rPr>
        <w:t xml:space="preserve"> </w:t>
      </w:r>
      <w:r>
        <w:rPr>
          <w:rFonts w:cs="Calibri" w:ascii="Calibri" w:hAnsi="Calibr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sz w:val="16"/>
          <w:szCs w:val="16"/>
        </w:rPr>
      </w:pPr>
      <w:r>
        <w:rPr>
          <w:rStyle w:val="FootnoteCharacters1"/>
        </w:rPr>
        <w:footnoteRef/>
      </w:r>
      <w:r>
        <w:rPr>
          <w:rFonts w:cs="Calibri" w:ascii="Calibri" w:hAnsi="Calibri"/>
          <w:sz w:val="16"/>
          <w:szCs w:val="16"/>
        </w:rPr>
        <w:t xml:space="preserve"> </w:t>
      </w:r>
      <w:r>
        <w:rPr>
          <w:rFonts w:cs="Calibri" w:ascii="Calibri" w:hAnsi="Calibri"/>
          <w:sz w:val="16"/>
          <w:szCs w:val="16"/>
        </w:rPr>
        <w:t xml:space="preserve">La Política de Procesos y Resultados de Aprendizaje de la Universidad de Antioquia se puede consultar en el siguiente enlace: </w:t>
      </w:r>
      <w:hyperlink r:id="rId2">
        <w:r>
          <w:rPr>
            <w:rStyle w:val="Hyperlink"/>
            <w:rFonts w:cs="Calibri" w:ascii="Calibri" w:hAnsi="Calibri"/>
            <w:sz w:val="16"/>
            <w:szCs w:val="16"/>
          </w:rPr>
          <w:t>https://bit.ly/3S47HDV</w:t>
        </w:r>
      </w:hyperlink>
    </w:p>
  </w:footnote>
  <w:footnote w:id="8">
    <w:p>
      <w:pPr>
        <w:pStyle w:val="FootnoteText"/>
        <w:jc w:val="both"/>
        <w:rPr/>
      </w:pPr>
      <w:r>
        <w:rPr>
          <w:rStyle w:val="FootnoteCharacters1"/>
        </w:rPr>
        <w:footnoteRef/>
      </w:r>
      <w:r>
        <w:rPr>
          <w:rFonts w:cs="Calibri" w:ascii="Calibri" w:hAnsi="Calibri"/>
          <w:sz w:val="16"/>
          <w:szCs w:val="16"/>
        </w:rPr>
        <w:t xml:space="preserve"> </w:t>
      </w:r>
      <w:r>
        <w:rPr>
          <w:rFonts w:cs="Calibri" w:ascii="Calibri" w:hAnsi="Calibri"/>
          <w:sz w:val="16"/>
          <w:szCs w:val="16"/>
          <w:lang w:val="es-CO"/>
        </w:rPr>
        <w:t>Para programas de pregrado, de conformidad con el Artículo 78 del Reglamento Estudiantil de Pregrado, cuando las</w:t>
      </w:r>
      <w:r>
        <w:rPr>
          <w:rFonts w:cs="Calibri" w:ascii="Calibri" w:hAnsi="Calibri"/>
          <w:sz w:val="16"/>
          <w:szCs w:val="16"/>
        </w:rPr>
        <w:t xml:space="preserve"> </w:t>
      </w:r>
      <w:r>
        <w:rPr>
          <w:rFonts w:cs="Calibri" w:ascii="Calibri" w:hAnsi="Calibr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sz w:val="16"/>
          <w:szCs w:val="16"/>
        </w:rPr>
        <w:t xml:space="preserve">. </w:t>
      </w:r>
      <w:r>
        <w:rPr>
          <w:rFonts w:cs="Calibri" w:ascii="Calibri" w:hAnsi="Calibr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217"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0"/>
      </w:numPr>
      <w:outlineLvl w:val="0"/>
    </w:pPr>
    <w:rPr>
      <w:b/>
    </w:rPr>
  </w:style>
  <w:style w:type="paragraph" w:styleId="Heading2">
    <w:name w:val="Heading 2"/>
    <w:basedOn w:val="Normal"/>
    <w:next w:val="Normal"/>
    <w:qFormat/>
    <w:pPr>
      <w:keepNext w:val="true"/>
      <w:numPr>
        <w:ilvl w:val="0"/>
        <w:numId w:val="0"/>
      </w:numPr>
      <w:jc w:val="center"/>
      <w:outlineLvl w:val="1"/>
    </w:pPr>
    <w:rPr>
      <w:b/>
    </w:rPr>
  </w:style>
  <w:style w:type="paragraph" w:styleId="Heading4">
    <w:name w:val="Heading 4"/>
    <w:basedOn w:val="Normal"/>
    <w:next w:val="Normal"/>
    <w:qFormat/>
    <w:pPr>
      <w:keepNext w:val="true"/>
      <w:numPr>
        <w:ilvl w:val="0"/>
        <w:numId w:val="0"/>
      </w:numPr>
      <w:jc w:val="both"/>
      <w:outlineLvl w:val="3"/>
    </w:pPr>
    <w:rPr>
      <w:b/>
      <w:sz w:val="16"/>
    </w:rPr>
  </w:style>
  <w:style w:type="character" w:styleId="DefaultParagraphFont">
    <w:name w:val="Default Paragraph Font"/>
    <w:qFormat/>
    <w:rPr/>
  </w:style>
  <w:style w:type="character" w:styleId="annotationreference">
    <w:name w:val="annotation reference"/>
    <w:qFormat/>
    <w:rPr>
      <w:sz w:val="16"/>
      <w:szCs w:val="16"/>
    </w:rPr>
  </w:style>
  <w:style w:type="character" w:styleId="TextocomentarioCar">
    <w:name w:val="Texto comentario Car"/>
    <w:link w:val="AnnotationText"/>
    <w:qFormat/>
    <w:rPr>
      <w:rFonts w:ascii="Arial" w:hAnsi="Arial"/>
    </w:rPr>
  </w:style>
  <w:style w:type="character" w:styleId="AsuntodelcomentarioCar">
    <w:name w:val="Asunto del comentario Car"/>
    <w:link w:val="annotationsubject"/>
    <w:qFormat/>
    <w:rPr>
      <w:rFonts w:ascii="Arial" w:hAnsi="Arial"/>
      <w:b/>
      <w:bCs/>
    </w:rPr>
  </w:style>
  <w:style w:type="character" w:styleId="TextodegloboCar">
    <w:name w:val="Texto de globo Car"/>
    <w:link w:val="BalloonText"/>
    <w:qFormat/>
    <w:rPr>
      <w:rFonts w:ascii="Tahoma" w:hAnsi="Tahoma" w:cs="Tahoma"/>
      <w:sz w:val="16"/>
      <w:szCs w:val="16"/>
    </w:rPr>
  </w:style>
  <w:style w:type="character" w:styleId="EncabezadoCar">
    <w:name w:val="Encabezado Car"/>
    <w:link w:val="Header"/>
    <w:qFormat/>
    <w:rPr>
      <w:rFonts w:ascii="Arial" w:hAnsi="Arial"/>
      <w:sz w:val="24"/>
    </w:rPr>
  </w:style>
  <w:style w:type="character" w:styleId="PiedepginaCar">
    <w:name w:val="Pie de página Car"/>
    <w:link w:val="Footer"/>
    <w:qFormat/>
    <w:rPr>
      <w:rFonts w:ascii="Arial" w:hAnsi="Arial"/>
      <w:sz w:val="24"/>
    </w:rPr>
  </w:style>
  <w:style w:type="character" w:styleId="TextonotaalfinalCar">
    <w:name w:val="Texto nota al final Car"/>
    <w:link w:val="EndnoteText"/>
    <w:qFormat/>
    <w:rPr>
      <w:rFonts w:ascii="Arial" w:hAnsi="Arial"/>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qFormat/>
    <w:rPr>
      <w:color w:val="808080"/>
    </w:rPr>
  </w:style>
  <w:style w:type="character" w:styleId="TextonotapieCar">
    <w:name w:val="Texto nota pie Car"/>
    <w:basedOn w:val="DefaultParagraphFont"/>
    <w:link w:val="FootnoteText"/>
    <w:qFormat/>
    <w:rPr>
      <w:rFonts w:ascii="Arial" w:hAnsi="Aria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themeColor="hyperlink" w:val="0000FF"/>
      <w:u w:val="single"/>
    </w:rPr>
  </w:style>
  <w:style w:type="character" w:styleId="Mencinsinresolver1">
    <w:name w:val="Mención sin resolver1"/>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pPr/>
    <w:rPr>
      <w:sz w:val="20"/>
      <w:lang w:val="x-none" w:eastAsia="x-none"/>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Tahoma" w:hAnsi="Tahoma"/>
      <w:sz w:val="16"/>
      <w:szCs w:val="16"/>
      <w:lang w:val="x-none" w:eastAsia="x-none"/>
    </w:rPr>
  </w:style>
  <w:style w:type="paragraph" w:styleId="Revision">
    <w:name w:val="Revision"/>
    <w:qFormat/>
    <w:pPr>
      <w:widowControl/>
      <w:suppressAutoHyphens w:val="true"/>
      <w:kinsoku w:val="true"/>
      <w:overflowPunct w:val="false"/>
      <w:autoSpaceDE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pPr>
    <w:rPr>
      <w:lang w:val="x-none" w:eastAsia="x-none"/>
    </w:rPr>
  </w:style>
  <w:style w:type="paragraph" w:styleId="Footer">
    <w:name w:val="Footer"/>
    <w:basedOn w:val="Normal"/>
    <w:link w:val="PiedepginaCar"/>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pPr/>
    <w:rPr>
      <w:sz w:val="20"/>
      <w:lang w:val="x-none" w:eastAsia="x-none"/>
    </w:rPr>
  </w:style>
  <w:style w:type="paragraph" w:styleId="Estilo">
    <w:name w:val="Estilo"/>
    <w:qFormat/>
    <w:pPr>
      <w:widowControl w:val="false"/>
      <w:suppressAutoHyphens w:val="true"/>
      <w:kinsoku w:val="true"/>
      <w:overflowPunct w:val="false"/>
      <w:autoSpaceDE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qFormat/>
    <w:pPr>
      <w:ind w:left="708"/>
    </w:pPr>
    <w:rPr>
      <w:rFonts w:ascii="Verdana" w:hAnsi="Verdana" w:cs="Verdana"/>
      <w:sz w:val="22"/>
      <w:szCs w:val="22"/>
    </w:rPr>
  </w:style>
  <w:style w:type="paragraph" w:styleId="FootnoteText">
    <w:name w:val="Footnote Text"/>
    <w:basedOn w:val="Normal"/>
    <w:link w:val="TextonotapieCar"/>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LibreOffice/24.2.5.2$Linux_X86_64 LibreOffice_project/d6e8b0f3fc6e8af2b00cf4969fd0d2fa45b9a62e</Application>
  <AppVersion>15.0000</AppVersion>
  <Pages>11</Pages>
  <Words>3475</Words>
  <Characters>21671</Characters>
  <CharactersWithSpaces>25195</CharactersWithSpaces>
  <Paragraphs>243</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2024-08-16T11:49:27Z</dcterms:modified>
  <cp:revision>21</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