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INFORMACIÓN GENERAL </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color w:themeColor="background1" w:themeShade="80" w:val="808080"/>
                <w:kern w:val="0"/>
                <w:sz w:val="20"/>
                <w:szCs w:val="20"/>
                <w:lang w:val="es-ES" w:eastAsia="es-ES" w:bidi="ar-SA"/>
              </w:rPr>
              <w:t>Desarrollo del pensamiento matemático en la infancia</w:t>
            </w: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Educación infantil</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 de la Universidad de Antioquia</w:t>
                </w:r>
                <w:r>
                  <w:rPr>
                    <w:rFonts w:eastAsia="Times New Roman" w:cs="Times New Roman" w:ascii="Calibri" w:hAnsi="Calibri"/>
                    <w:color w:themeColor="background1" w:themeShade="80" w:val="808080"/>
                    <w:kern w:val="0"/>
                    <w:sz w:val="20"/>
                    <w:szCs w:val="20"/>
                    <w:lang w:val="es-ES" w:eastAsia="es-ES" w:bidi="ar-SA"/>
                  </w:rPr>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r>
              <w:rPr>
                <w:rFonts w:eastAsia="Times New Roman" w:cs="Times New Roman" w:ascii="Calibri" w:hAnsi="Calibri"/>
                <w:kern w:val="0"/>
                <w:sz w:val="20"/>
                <w:szCs w:val="20"/>
                <w:lang w:val="es-ES" w:eastAsia="es-ES" w:bidi="ar-SA"/>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Educación infantil</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Periodo académico o Cohorte.</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Código curso: </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85F8F1DE23F424083B1F297C6E46731"/>
                </w:placeholder>
                <w:text/>
              </w:sdtPr>
              <w:sdtContent>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r>
              <w:rPr>
                <w:rFonts w:ascii="Calibri" w:hAnsi="Calibri" w:asciiTheme="minorHAnsi" w:hAnsiTheme="minorHAnsi"/>
                <w:color w:themeColor="background1" w:themeShade="80" w:val="808080"/>
                <w:sz w:val="20"/>
              </w:rPr>
              <w:t>2097503</w:t>
            </w:r>
            <w:r>
              <w:rPr>
                <w:rFonts w:eastAsia="Times New Roman" w:cs="Times New Roman" w:ascii="Calibri" w:hAnsi="Calibri" w:asciiTheme="minorHAnsi" w:hAnsiTheme="minorHAnsi"/>
                <w:color w:themeColor="background1" w:themeShade="80" w:val="808080"/>
                <w:kern w:val="0"/>
                <w:sz w:val="20"/>
                <w:szCs w:val="20"/>
                <w:lang w:val="es-ES" w:eastAsia="es-ES" w:bidi="ar-SA"/>
              </w:rPr>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r>
                  <w:rPr>
                    <w:rFonts w:eastAsia="Times New Roman" w:cs="Times New Roman" w:ascii="Calibri" w:hAnsi="Calibri"/>
                    <w:color w:themeColor="background1" w:themeShade="80" w:val="808080"/>
                    <w:kern w:val="0"/>
                    <w:sz w:val="20"/>
                    <w:szCs w:val="20"/>
                    <w:lang w:val="es-ES" w:eastAsia="es-ES" w:bidi="ar-SA"/>
                  </w:rPr>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Profesional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kern w:val="0"/>
                <w:sz w:val="20"/>
                <w:szCs w:val="20"/>
                <w:lang w:val="es-CO" w:eastAsia="es-ES" w:bidi="ar-SA"/>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Nombre del área, núcleo o componente de la organización curricular a la que pertenece el curso:   </w:t>
            </w:r>
          </w:p>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pacing w:before="0" w:after="0"/>
              <w:jc w:val="left"/>
              <w:rPr>
                <w:rFonts w:ascii="Calibri" w:hAnsi="Calibri" w:asciiTheme="minorHAnsi" w:hAnsiTheme="minorHAnsi"/>
              </w:rPr>
            </w:pPr>
            <w:r>
              <w:rPr>
                <w:rStyle w:val="PlaceholderText"/>
                <w:rFonts w:eastAsia="Times New Roman" w:cs="Times New Roman" w:ascii="Calibri" w:hAnsi="Calibri"/>
                <w:kern w:val="0"/>
                <w:sz w:val="20"/>
                <w:szCs w:val="20"/>
                <w:lang w:val="es-ES" w:eastAsia="es-ES" w:bidi="ar-SA"/>
              </w:rPr>
              <w:t>8</w:t>
            </w: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17 horas semanales</w:t>
                  <w:br/>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RELACIONES CON EL PERFIL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Perfil del licenciado en educación infantil: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del licenciado en Educación Infantil de la Facultad de Educación de la Universidad de Antioquia está diseñado para formar profesionales con competencias pedagógicas, didácticas y de investigación, específicamente enfocadas en la educación de la primera infancia (0-8 años). A continuación, te presento una descripción general de este perfil: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Perfil Profesional: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**Competencias Pedagógicas:** El licenciado en Educación Infantil posee un profundo conocimiento de los procesos de enseñanza-aprendizaje, adaptando sus estrategias pedagógicas a las necesidades y características del desarrollo infantil. Está capacitado para diseñar, implementar y evaluar planes de estudio y programas educativos que fomenten el desarrollo integral de los niños y niñas.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**Conocimiento del Desarrollo Infantil:** Tiene un sólido entendimiento de las etapas del desarrollo infantil en las dimensiones cognitiva, emocional, social y física. Es capaz de identificar y responder a las necesidades individuales de los niños, promoviendo su bienestar y desarrollo integral.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3. **Habilidades Didácticas:** El profesional domina diversas metodologías y enfoques didácticos que favorecen el aprendizaje significativo en la primera infancia. Está preparado para crear ambientes de aprendizaje que estimulen la creatividad, la exploración y el pensamiento crítico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4. **Investigación Educativa:** Posee habilidades en investigación educativa, lo que le permite participar en proyectos de investigación que buscan mejorar las prácticas educativas en la primera infancia. Está capacitado para analizar, interpretar y aplicar los resultados de la investigación en su práctica docente.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5. Ética y Responsabilidad Social: El licenciado en Educación Infantil actúa con un alto sentido ético y responsabilidad social, comprometido con la promoción de los derechos de la infancia y la construcción de una sociedad más justa e inclusiva. Tiene un fuerte compromiso con la equidad y la calidad educativa.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6. Trabajo Colaborativo: Está preparado para trabajar en equipo con otros profesionales de la educación, las familias y la comunidad en general, contribuyendo a la formación integral de los niños desde una perspectiva inclusiva y participativa.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Perfil Ocupacional: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egresado del programa de Licenciatura en Educación Infantil puede desempeñarse en los siguientes campos: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**Docencia en Educación Infantil:** Trabajar como maestro en instituciones educativas de nivel preescolar y primaria, tanto en el sector público como privado.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Gestión y Dirección Educativa: Desempeñarse en cargos de coordinación, dirección y gestión de programas educativos enfocados en la primera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3. **Asesoría Pedagógica:** Ofrecer asesoría pedagógica en la elaboración y evaluación de programas y proyectos educativos destinados a la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4. Investigación Educativa: Participar en proyectos de investigación que aborden temas relacionados con la educación infantil y el desarrollo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5. Diseño de Materiales Educativos: Desarrollar materiales didácticos y recursos educativos innovadores que apoyen el proceso de enseñanza-aprendizaje en la primera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perfil está alineado con los estándares nacionales e internacionales en la formación de profesionales de la educación infantil, con el objetivo de contribuir al desarrollo de una educación de calidad y equitativa para todos los niños y niñas.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 del curso de 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**Descripción del Curso: "Desarrollo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**Objetivo del Curso:**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El curso "Desarrollo del Pensamiento Matemático en la Infancia" está diseñado para formar a los futuros licenciados en Educación Infantil en las competencias necesarias para fomentar y guiar el pensamiento matemático en los niños durante sus primeras etapas de desarrollo. A través de este curso, los estudiantes adquirirán herramientas teóricas y prácticas que les permitirán enseñar conceptos matemáticos fundamentales de manera creativa y efectiva, alineándose con los Derechos Básicos de Aprendizaje (DBA) establecidos por el Ministerio de Educación Nacional de Colombia (MEN).</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**Enfoque Pedagógico:**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Este curso se impartirá con una metodología de **Aula Invertida (Flipped Learning)**, la cual está orientada a estimular el trabajo independiente y la responsabilidad del aprendizaje en los futuros licenciados. Los estudiantes tendrán la oportunidad de explorar y estudiar los contenidos desde casa mediante cuadernos Jupyter, que estarán alojados en el repositorio en línea "desarrollo_pensamiento_matemático_infancia" en GitHub, y mediante videos vinculados, alojados en el canal de YouTube DiMathData, en la lista de reproducción "Desarrollo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**Aportes del Curso al Perfil Profesional:**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**Desarrollo de Competencias Pedagógicas:** Los estudiantes aprenderán a diseñar actividades y proyectos que promuevan el pensamiento lógico-matemático en niños, utilizando enfoques lúdicos y contextuales que se adapten a sus necesidades y niveles de desarrollo.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**Aplicación de Tecnologías Educativas:** El curso promoverá el aprendizaje de lenguajes como Python, LaTeX, Markdown y Git, con el objetivo de que los futuros licenciados puedan integrar tecnologías avanzadas en su práctica docente. Esta competencia es crucial para el desarrollo del pensamiento computacional, una habilidad cada vez más demandada en el ámbito educativo y empresarial.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**Fortalecimiento del Pensamiento Computacional:** A través de la programación en Python y el uso de herramientas digitales, los estudiantes desarrollarán habilidades que no solo enriquecerán su enseñanza matemática, sino que también les permitirán preparar a sus futuros estudiantes para los desafíos del siglo XXI, facilitando su acceso al sector privado.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**Enriquecimiento del Conocimiento Matemático:** Basándose en los Derechos Básicos de Aprendizaje (DBA), el curso asegurará que los futuros licenciados dominen los contenidos matemáticos esenciales que deben ser enseñados en la infancia, brindándoles una base sólida para su futura labor docente.</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**Metodología:**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**Estudio Independiente:** Los estudiantes accederán a los materiales de estudio a través de GitHub y YouTube, donde podrán revisar los contenidos a su propio ritmo y de manera autónoma antes de las sesiones presenciales o virtuales de discusión y resolución de dudas.</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**Sesiones Interactivas:** Durante las clases, se fomentará la discusión, la colaboración y la aplicación práctica de los conocimientos adquiridos, con un enfoque en resolver problemas reales y contextualizados en la educación infantil.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**Proyectos Prácticos:** Se implementarán proyectos donde los estudiantes diseñarán actividades matemáticas para la infancia, integrando herramientas digitales y metodologías innovadoras.</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Este curso no solo contribuirá al desarrollo profesional de los futuros licenciados en Educación Infantil, sino que también les brindará las competencias necesarias para innovar en la enseñanza de las matemáticas, adaptándose a las exigencias del entorno educativo contemporáneo y preparándolos para un futuro en el que la tecnología y el pensamiento computacional son fundamentales.</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INTENCIONALIDADES FORMATIVAS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r>
              <w:rPr>
                <w:rFonts w:eastAsia="Times New Roman" w:cs="Verdana" w:ascii="Calibri" w:hAnsi="Calibri" w:asciiTheme="minorHAnsi" w:hAnsiTheme="minorHAnsi"/>
                <w:kern w:val="0"/>
                <w:sz w:val="22"/>
                <w:szCs w:val="22"/>
                <w:lang w:val="es-ES" w:eastAsia="es-ES" w:bidi="ar-SA"/>
              </w:rPr>
              <w:t xml:space="preserve"> </w:t>
            </w:r>
          </w:p>
          <w:p>
            <w:pPr>
              <w:pStyle w:val="Normal"/>
              <w:widowControl/>
              <w:spacing w:before="0" w:after="0"/>
              <w:contextualSpacing/>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Times New Roman" w:hAnsi="Times New Roman"/>
                <w:color w:themeColor="text1" w:val="000000"/>
                <w:szCs w:val="24"/>
              </w:rPr>
            </w:pPr>
            <w:r>
              <w:rPr>
                <w:rFonts w:eastAsia="Times New Roman" w:cs="Times New Roman" w:ascii="Times New Roman" w:hAnsi="Times New Roman"/>
                <w:color w:themeColor="text1" w:val="000000"/>
                <w:kern w:val="0"/>
                <w:szCs w:val="24"/>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Medios y recursos didácticos: </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Formas de interacción en los ambientes de aprendizaje y de acompañamiento del trabajo independiente del estudiante: </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Para la parte 2 del texto que trata sobre los números reales, un conjunto de palabras clave podría incluir:</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2. **Propiedades de los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3. **Clasificación de Números**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**Números Naturales**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**Números Enteros**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**Números Racionales**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7. **Números Irracionales**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8. **Intervalos**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**Recta Numérica**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**Desigualdades**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11. **Valor Absoluto**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12. **Representación Decimal**</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13. **Orden de los Números**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14. **Aproximación**</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15. **Densidad de los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abarcan los conceptos fundamentales que generalmente se discuten al tratar el tema de los números reales en un contexto matemático.</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"Derechos Básicos de Aprendizaje (DBA): definición y alcances" de Peñas, C. (2016) está asociado a Colombia. Los **Derechos Básicos de Aprendizaje (DBA)** son un marco educativo desarrollado por el **Ministerio de Educación Nacional de Colombia (MEN)**, diseñado para garantizar que todos los estudiantes del país alcancen un nivel mínimo de competencias en diferentes áreas del conocimiento.</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Peñas, C. (2016). Derechos Básicos de Aprendizaje (DBA): definición y alcances. </w:t>
            </w:r>
            <w:r>
              <w:rPr>
                <w:rFonts w:eastAsia="Times New Roman" w:cs="Calibri" w:cstheme="minorHAnsi" w:ascii="Calibri" w:hAnsi="Calibri"/>
                <w:i/>
                <w:kern w:val="0"/>
                <w:sz w:val="22"/>
                <w:szCs w:val="22"/>
                <w:lang w:val="es-ES" w:eastAsia="es-ES" w:bidi="ar-SA"/>
              </w:rPr>
              <w:t>Sistema integral de gestión educativa</w:t>
            </w:r>
            <w:r>
              <w:rPr>
                <w:rFonts w:eastAsia="Times New Roman" w:cs="Calibri" w:cstheme="minorHAnsi" w:ascii="Calibri" w:hAnsi="Calibri"/>
                <w:kern w:val="0"/>
                <w:sz w:val="22"/>
                <w:szCs w:val="22"/>
                <w:lang w:val="es-ES" w:eastAsia="es-ES" w:bidi="ar-SA"/>
              </w:rPr>
              <w:t>.</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 Derechos Básicos de Aprendizaje (DBA)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2.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3. Competencias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Estándares Educativos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Currículo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Enseñanza de las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7. Educación Básica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8. Habilidades Numéricas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Resolución de Problemas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Pensamiento Matemático**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11. **Desempeño Estudiantil**</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12. **Alcances Curriculares**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13. **Evaluación de Competencias**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14. **Aprendizaje Significativo**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15. **Lineamientos Curriculares**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reflejan los principales conceptos relacionados con la implementación y los objetivos de los DBA en el área de matemáticas dentro del sistema educativo colombiano.</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8"/>
        <w:gridCol w:w="3261"/>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tc>
      </w:tr>
      <w:tr>
        <w:trPr>
          <w:trHeight w:val="764"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both"/>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3"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3118" w:type="dxa"/>
            <w:gridSpan w:val="3"/>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5"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975"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left"/>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3118" w:type="dxa"/>
            <w:gridSpan w:val="3"/>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2975"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center"/>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942"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5</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5</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LibreOffice/24.2.5.2$Linux_X86_64 LibreOffice_project/d6e8b0f3fc6e8af2b00cf4969fd0d2fa45b9a62e</Application>
  <AppVersion>15.0000</AppVersion>
  <Pages>8</Pages>
  <Words>2417</Words>
  <Characters>14558</Characters>
  <CharactersWithSpaces>16911</CharactersWithSpaces>
  <Paragraphs>160</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2024-08-08T11:43:09Z</dcterms:modified>
  <cp:revision>15</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