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ind w:hanging="567" w:left="567" w:right="-1"/>
        <w:jc w:val="both"/>
        <w:rPr>
          <w:b/>
          <w:bCs/>
        </w:rPr>
      </w:pPr>
      <w:r>
        <w:rPr>
          <w:rFonts w:eastAsia="Open Sans" w:cs="Open Sans"/>
          <w:b/>
          <w:bCs/>
          <w:spacing w:val="-1"/>
          <w:w w:val="95"/>
          <w:sz w:val="28"/>
          <w:szCs w:val="20"/>
          <w:lang w:val="es-CO"/>
        </w:rPr>
        <w:t>Algunas ventajas de incorporar la enseñanza del inglés en la educación matemática</w:t>
      </w:r>
    </w:p>
    <w:p>
      <w:pPr>
        <w:pStyle w:val="Heading1"/>
        <w:spacing w:before="0" w:after="0"/>
        <w:ind w:hanging="567" w:left="567" w:right="-1"/>
        <w:jc w:val="both"/>
        <w:rPr>
          <w:b/>
          <w:bCs/>
        </w:rPr>
      </w:pPr>
      <w:r>
        <w:rPr>
          <w:b/>
          <w:bCs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**Introducción**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Breve introducción sobre la importancia de la educación matemática en la formación universitaria.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Presentación del enfoque pedagógico de aula invertida y su apoyo en clases diseñadas en cuadernos Jupyter y videoclases en YouTube.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Planteamiento de la necesidad de internacionalizar el currículo universitario y la relevancia del inglés en este proceso.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**Contexto de la Educación Matemática Universitaria**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Breve descripción del papel fundamental de las matemáticas en diversas áreas académicas y profesionales.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Mención de la importancia de la innovación pedagógica y la integración de tecnologías en la enseñanza de las matemáticas.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**El Enfoque de Aula Invertida con Cuadernos Jupyter y YouTube**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Explicación detallada del enfoque de aula invertida en la enseñanza de las matemáticas, destacando sus ventajas y beneficios para el aprendizaje activo y autónomo de los estudiantes.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Descripción de la utilización de cuadernos Jupyter como herramienta central para la creación y distribución de material educativo interactivo y colaborativo.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Presentación de la importancia de las videoclases en YouTube como complemento a los materiales escritos, permitiendo una mayor comprensión y clarificación de los conceptos matemáticos.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**La Internacionalización del Currículo Universitario**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Discusión sobre la necesidad de internacionalizar el currículo universitario para preparar a los estudiantes para un mundo globalizado y multicultural.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Argumentación sobre cómo la incorporación del inglés en la educación matemática puede contribuir a este proceso de internacionalización.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Ejemplificación de países y universidades que han adoptado esta práctica y han obtenido resultados positivos.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**Ventajas de la Enseñanza del Inglés en la Educación Matemática**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Enumeración de las ventajas y beneficios específicos de integrar la enseñanza del inglés en los cursos de matemáticas universitarias.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Destacar la mejora de las habilidades lingüísticas en inglés de los estudiantes, así como su capacidad para acceder a recursos educativos y académicos en este idioma.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Resaltar la preparación de los estudiantes para colaborar y comunicarse en entornos internacionales y multidisciplinarios.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**Conclusiones**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Recapitulación de los puntos principales discutidos en el artículo.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Reafirmación de la importancia de incorporar la enseñanza del inglés en la educación matemática universitaria.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Llamado a la acción para que las instituciones educativas adopten esta práctica como parte integral de su plan de estudios.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**Referencias**</w:t>
      </w:r>
    </w:p>
    <w:p>
      <w:pPr>
        <w:pStyle w:val="Heading1"/>
        <w:spacing w:before="0" w:after="0"/>
        <w:ind w:hanging="567" w:left="567" w:right="-1"/>
        <w:jc w:val="both"/>
        <w:rPr>
          <w:b w:val="false"/>
          <w:bCs w:val="false"/>
        </w:rPr>
      </w:pPr>
      <w:r>
        <w:rPr>
          <w:rFonts w:eastAsia="Open Sans" w:cs="Open Sans"/>
          <w:b w:val="false"/>
          <w:bCs w:val="false"/>
          <w:spacing w:val="-1"/>
          <w:w w:val="95"/>
          <w:sz w:val="28"/>
          <w:szCs w:val="20"/>
          <w:lang w:val="es-CO"/>
        </w:rPr>
        <w:t>- Listado de las fuentes bibliográficas y recursos utilizados para respaldar los argumentos presentados en el artículo.</w:t>
      </w:r>
      <w:r>
        <w:rPr>
          <w:rFonts w:cs="Open Sans"/>
          <w:b w:val="false"/>
          <w:bCs w:val="false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sect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LibreOffice/24.2.1.2$Linux_X86_64 LibreOffice_project/47cb2a8f5842ca5ed1da82b752a3c58b1b107b25</Application>
  <AppVersion>15.0000</AppVersion>
  <Pages>9</Pages>
  <Words>5585</Words>
  <Characters>31650</Characters>
  <CharactersWithSpaces>37064</CharactersWithSpaces>
  <Paragraphs>132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2024-03-28T09:12:13Z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