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INFORMACIÓN GENERAL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Inglés para comunicación científica t empresarial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Educación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 xml:space="preserve">, 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 xml:space="preserve">Facultad de Ciencias Económicas, Facultad de ciencias agrarias. 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color w:themeColor="background1" w:themeShade="80" w:val="808080"/>
                <w:kern w:val="0"/>
                <w:sz w:val="20"/>
                <w:szCs w:val="20"/>
                <w:lang w:val="es-ES" w:eastAsia="es-ES" w:bidi="ar-SA"/>
              </w:rPr>
              <w:t>Administración de empresas, Licenciatura en Matemáticas, Licenciatura en Educación Infantil, Ingeniería agropecuaria</w:t>
            </w: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2024-1, 2024 - 2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Código curso: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</w:r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Obligatorio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sz w:val="20"/>
                <w:lang w:val="es-CO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Nombre del área, núcleo o componente de la organización curricular a la que pertenece el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10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4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14</w:t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RELACIONES CON EL PERFIL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El propósito de este curso de "English" para el desarrollo de habilidades en comunicación científica en el área de matemáticas y ciencias de datos para los programas de Administración de Empresas, Ingeniería Agropecuaria, Licenciatura en Matemáticas y Licenciatura en Educación Infantil es proporcionar a los estudiantes las herramientas lingüísticas y de comunicación necesarias para expresar y compartir ideas complejas de manera clara y efectiva en un contexto científico y técnico.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El curso se enfoca en el uso del idioma inglés específicamente en el ámbito académico y profesional de las disciplinas mencionadas, donde la comunicación precisa y concisa es fundamental para la comprensión y el intercambio de conocimientos. El objetivo es capacitar a los estudiantes para que puedan participar en discusiones, presentaciones y redacción de informes científicos en inglés con fluidez y precisión.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La metodología de enseñanza empleada es el Aprendizaje Basado en Problemas (ABP), que involucra a los estudiantes en la resolución de problemas prácticos y situaciones del mundo real relacionadas con su campo de estudio. Esto fomenta el pensamiento crítico, la colaboración y el desarrollo de habilidades de resolución de problemas.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Además, se utiliza un enfoque pedagógico de aula invertida, donde los estudiantes tienen acceso previo a material didáctico, como video clases alojadas en cuadernos Jupyter en repositorios de la red social GitHub y videos en la red social YouTube. Esto les permite prepararse antes de las clases presenciales y utilizar el tiempo en el aula para discusiones más interactivas, ejercicios prácticos y retroalimentación personalizada por parte del instructor.</w:t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ind w:hanging="0" w:left="0" w:right="0"/>
              <w:rPr>
                <w:color w:val="000000"/>
                <w:highlight w:val="none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En resumen, el curso tiene como objetivo principal mejorar las habilidades de comunicación científica en inglés de los estudiantes, utilizando una combinación de metodologías activas de aprendizaje, tecnología digital y recursos en línea para optimizar su experiencia de aprendizaje y prepararlos para el éxito en su futura carrera profesional.</w:t>
            </w:r>
          </w:p>
          <w:p>
            <w:pPr>
              <w:pStyle w:val="Normal"/>
              <w:suppressAutoHyphens w:val="true"/>
              <w:ind w:hanging="0" w:left="0" w:right="0"/>
              <w:rPr>
                <w:rFonts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color w:val="000000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asciiTheme="minorHAnsi" w:hAnsiTheme="minorHAnsi" w:ascii="Calibri" w:hAnsi="Calibri"/>
                <w:color w:val="000000"/>
                <w:sz w:val="22"/>
                <w:szCs w:val="22"/>
                <w:shd w:fill="FFFFFF" w:val="clear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INTENCIONALIDADES FORMATIVAS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Para el diseño curricular del curso de "English" para desarrollo de habilidades en comunicación científica en el área de matemáticas y ciencias de datos, adaptado a los programas de Ingeniería Agropecuaria, Administración de Empresas y Licenciatura en Matemáticas de la Universidad de Antioquia, se pueden establecer las siguientes intencionalidades formativas: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/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1. **Problemas de formación:**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Dificultad para expresar ideas técnicas y científicas de manera clara y precisa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Limitaciones en la comprensión y comunicación de conceptos específicos de matemáticas y ciencias de datos en un contexto académico y profesional.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Falta de experiencia en la redacción de informes científicos y presentaciones en inglés dentro de su área de estudio.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/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2. **Propósitos de formación:**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Desarrollar habilidades lingüísticas y comunicativas en inglés para expresar ideas científicas y técnicas de forma efectiva.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Promover la autonomía y el pensamiento crítico en la resolución de problemas de comunicación científica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Fomentar la integración de conocimientos disciplinarios con habilidades lingüísticas en inglés para la aplicación práctica en contextos académicos y profesionales.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/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3. **Objetivos:**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Dominar el vocabulario técnico y científico en inglés relacionado con las disciplinas específicas de cada programa académico.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Comprender y aplicar las convenciones de estilo y estructura en la redacción de informes científicos y presentaciones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Mejorar la capacidad de escucha y comprensión de materiales académicos y técnicos en inglés, incluidas las video clases y recursos digitales.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/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4. **Capacidades y competencias:**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Desarrollar la capacidad de comunicarse efectivamente en inglés tanto de forma oral como escrita en un contexto científico y técnico.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Reforzar habilidades de trabajo en equipo y colaboración a través de actividades de resolución de problemas y discusiones en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 xml:space="preserve">   </w:t>
            </w: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- Adquirir competencias interculturales y de adaptación al contexto académico y profesional internacional mediante la práctica del idioma inglés.</w:t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/>
            </w:r>
          </w:p>
          <w:p>
            <w:pPr>
              <w:pStyle w:val="Normal1"/>
              <w:jc w:val="both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position w:val="0"/>
                <w:sz w:val="24"/>
                <w:sz w:val="24"/>
                <w:szCs w:val="22"/>
                <w:vertAlign w:val="baseline"/>
              </w:rPr>
              <w:t>Estas intencionalidades formativas están alineadas con los objetivos y metas establecidos en el Proyecto Educativo de cada programa académico, contribuyendo así a la formación integral de los estudiantes y preparándolos para enfrentar los desafíos y oportunidades en un mundo globalizado y altamente competitivo.</w:t>
            </w:r>
          </w:p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/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☒</w:t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cs="Calibri" w:cstheme="minorHAnsi" w:ascii="Calibri" w:hAnsi="Calibri"/>
                <w:color w:themeColor="text1" w:val="000000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ascii="Times New Roman" w:hAnsi="Times New Roman"/>
                <w:color w:themeColor="text1" w:val="000000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Medios y recursos didácticos: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Formas de interacción en los ambientes de aprendizaje y de acompañamiento del trabajo independiente del estudiante: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1 (primer mes de clase)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asistencia, atención y participación, quiz y un parcial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2 (Segundo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3 (Tercer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Seguimiento 4 (Cuarto mes de clase)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kern w:val="0"/>
                <w:sz w:val="22"/>
                <w:szCs w:val="22"/>
                <w:shd w:fill="1E1E1E" w:val="clear"/>
                <w:lang w:val="es-ES" w:eastAsia="es-ES" w:bidi="ar-SA"/>
              </w:rPr>
            </w:pPr>
            <w:r>
              <w:rPr>
                <w:rFonts w:eastAsia="Times New Roman" w:cs="Calibri" w:ascii="Calibri" w:hAnsi="Calibri" w:cstheme="minorHAns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 xml:space="preserve">Aylwin, C. U. (2011). Lógica, conjuntos y números. </w:t>
            </w:r>
            <w:r>
              <w:rPr>
                <w:rFonts w:eastAsia="Times New Roman" w:cs="Calibri" w:ascii="Calibri" w:hAnsi="Calibri" w:cstheme="minorHAnsi"/>
                <w:i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Universidad de los Andes, Consejo de Publicaciones, Colección: Ciencias Básicas, Serie: Matemáticas</w:t>
            </w:r>
            <w:r>
              <w:rPr>
                <w:rFonts w:eastAsia="Times New Roman" w:cs="Calibri" w:ascii="Calibri" w:hAnsi="Calibri" w:cstheme="minorHAns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6"/>
        <w:gridCol w:w="3263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764" w:hRule="atLeast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286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3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>
              <w:color w:val="6796E6"/>
              <w:shd w:fill="1E1E1E" w:val="clear"/>
            </w:rPr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>
              <w:color w:val="6796E6"/>
              <w:shd w:fill="1E1E1E" w:val="clear"/>
            </w:rPr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LibreOffice/24.2.1.2$Linux_X86_64 LibreOffice_project/22b49863b83d7bfdb3898aaaf02f7b32e9b8f988</Application>
  <AppVersion>15.0000</AppVersion>
  <Pages>6</Pages>
  <Words>1765</Words>
  <Characters>10357</Characters>
  <CharactersWithSpaces>12119</CharactersWithSpaces>
  <Paragraphs>119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2024-03-10T18:31:22Z</dcterms:modified>
  <cp:revision>16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