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METODOLOGÍA AJUSTADA PARA EL PROYECTO</w:t>
      </w:r>
    </w:p>
    <w:p>
      <w:pPr>
        <w:pStyle w:val="Heading1"/>
      </w:pPr>
      <w:r>
        <w:t>Aplicación de Análisis Predictivo para la Gestión de Riesgos Climáticos</w:t>
      </w:r>
    </w:p>
    <w:p>
      <w:pPr>
        <w:pStyle w:val="Heading2"/>
      </w:pPr>
      <w:r>
        <w:t>Cultivos de Arroz del Bajo Cauca</w:t>
      </w:r>
    </w:p>
    <w:p>
      <w:r>
        <w:rPr>
          <w:b/>
          <w:i w:val="0"/>
        </w:rPr>
        <w:t>Grupo de Investigación Interdisciplinario del Bajo Cauca y del sur de Córdoba (GIBACC)</w:t>
      </w:r>
    </w:p>
    <w:p>
      <w:r>
        <w:rPr>
          <w:b w:val="0"/>
          <w:i/>
        </w:rPr>
        <w:t>Universidad de Antioquia - Sede Bajo Cauca</w:t>
      </w:r>
    </w:p>
    <w:p>
      <w:r>
        <w:rPr>
          <w:b w:val="0"/>
          <w:i w:val="0"/>
          <w:color w:val="808080"/>
        </w:rPr>
        <w:t>Versión: 1.0 - Julio 2024</w:t>
      </w:r>
    </w:p>
    <w:p>
      <w:r>
        <w:br w:type="page"/>
      </w:r>
    </w:p>
    <w:p>
      <w:pPr>
        <w:pStyle w:val="Heading1"/>
      </w:pPr>
      <w:r>
        <w:t>1. Metodología STEAM Integrada</w:t>
      </w:r>
    </w:p>
    <w:p>
      <w:pPr>
        <w:pStyle w:val="Heading2"/>
      </w:pPr>
      <w:r>
        <w:t>1.1 Fase 1 - Co-diseño Participativo (2 meses)</w:t>
      </w:r>
    </w:p>
    <w:p>
      <w:r>
        <w:rPr>
          <w:b/>
          <w:i w:val="0"/>
        </w:rPr>
        <w:t>Enfoque STEAM:</w:t>
      </w:r>
    </w:p>
    <w:p>
      <w:pPr>
        <w:ind w:left="360"/>
      </w:pPr>
      <w:r>
        <w:rPr>
          <w:b w:val="0"/>
          <w:i w:val="0"/>
        </w:rPr>
        <w:t>Ciencia: Análisis de datos históricos climáticos y agrícolas</w:t>
      </w:r>
    </w:p>
    <w:p>
      <w:pPr>
        <w:ind w:left="360"/>
      </w:pPr>
      <w:r>
        <w:rPr>
          <w:b w:val="0"/>
          <w:i w:val="0"/>
        </w:rPr>
        <w:t>Tecnología: Diagnóstico de infraestructura digital disponible</w:t>
      </w:r>
    </w:p>
    <w:p>
      <w:pPr>
        <w:ind w:left="360"/>
      </w:pPr>
      <w:r>
        <w:rPr>
          <w:b w:val="0"/>
          <w:i w:val="0"/>
        </w:rPr>
        <w:t>Ingeniería: Diseño de arquitectura del sistema</w:t>
      </w:r>
    </w:p>
    <w:p>
      <w:pPr>
        <w:ind w:left="360"/>
      </w:pPr>
      <w:r>
        <w:rPr>
          <w:b w:val="0"/>
          <w:i w:val="0"/>
        </w:rPr>
        <w:t>Artes: Diseño centrado en el usuario para agricultores</w:t>
      </w:r>
    </w:p>
    <w:p>
      <w:pPr>
        <w:ind w:left="360"/>
      </w:pPr>
      <w:r>
        <w:rPr>
          <w:b w:val="0"/>
          <w:i w:val="0"/>
        </w:rPr>
        <w:t>Matemáticas: Modelado preliminar de relaciones variables</w:t>
      </w:r>
    </w:p>
    <w:p>
      <w:pPr>
        <w:pStyle w:val="Heading2"/>
      </w:pPr>
      <w:r>
        <w:t>1.2 Fase 2 - Desarrollo Técnico (4 meses)</w:t>
      </w:r>
    </w:p>
    <w:p>
      <w:r>
        <w:rPr>
          <w:b/>
          <w:i w:val="0"/>
        </w:rPr>
        <w:t>Componentes técnicos mejorados: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Enfoque STEAM</w:t>
            </w:r>
          </w:p>
        </w:tc>
      </w:tr>
      <w:tr>
        <w:tc>
          <w:tcPr>
            <w:tcW w:type="dxa" w:w="1728"/>
          </w:tcPr>
          <w:p>
            <w:r>
              <w:t>Extracción ETL</w:t>
            </w:r>
          </w:p>
        </w:tc>
        <w:tc>
          <w:tcPr>
            <w:tcW w:type="dxa" w:w="2880"/>
          </w:tcPr>
          <w:p>
            <w:r>
              <w:t>Python (Pandas, GeoPandas), SQLAlchemy, API IDEAM</w:t>
            </w:r>
          </w:p>
        </w:tc>
        <w:tc>
          <w:tcPr>
            <w:tcW w:type="dxa" w:w="2880"/>
          </w:tcPr>
          <w:p>
            <w:r>
              <w:t>Integración datos espaciales</w:t>
            </w:r>
          </w:p>
        </w:tc>
      </w:tr>
      <w:tr>
        <w:tc>
          <w:tcPr>
            <w:tcW w:type="dxa" w:w="1728"/>
          </w:tcPr>
          <w:p>
            <w:r>
              <w:t>Preprocesamiento</w:t>
            </w:r>
          </w:p>
        </w:tc>
        <w:tc>
          <w:tcPr>
            <w:tcW w:type="dxa" w:w="2880"/>
          </w:tcPr>
          <w:p>
            <w:r>
              <w:t>Scikit-learn (pipelines), Feature-engine</w:t>
            </w:r>
          </w:p>
        </w:tc>
        <w:tc>
          <w:tcPr>
            <w:tcW w:type="dxa" w:w="2880"/>
          </w:tcPr>
          <w:p>
            <w:r>
              <w:t>Preparación datos para modelos</w:t>
            </w:r>
          </w:p>
        </w:tc>
      </w:tr>
      <w:tr>
        <w:tc>
          <w:tcPr>
            <w:tcW w:type="dxa" w:w="1728"/>
          </w:tcPr>
          <w:p>
            <w:r>
              <w:t>Modelado</w:t>
            </w:r>
          </w:p>
        </w:tc>
        <w:tc>
          <w:tcPr>
            <w:tcW w:type="dxa" w:w="2880"/>
          </w:tcPr>
          <w:p>
            <w:r>
              <w:t>TensorFlow/Keras (LSTM), Prophet, XGBoost</w:t>
            </w:r>
          </w:p>
        </w:tc>
        <w:tc>
          <w:tcPr>
            <w:tcW w:type="dxa" w:w="2880"/>
          </w:tcPr>
          <w:p>
            <w:r>
              <w:t>Ensemble de modelos</w:t>
            </w:r>
          </w:p>
        </w:tc>
      </w:tr>
      <w:tr>
        <w:tc>
          <w:tcPr>
            <w:tcW w:type="dxa" w:w="1728"/>
          </w:tcPr>
          <w:p>
            <w:r>
              <w:t>Visualización</w:t>
            </w:r>
          </w:p>
        </w:tc>
        <w:tc>
          <w:tcPr>
            <w:tcW w:type="dxa" w:w="2880"/>
          </w:tcPr>
          <w:p>
            <w:r>
              <w:t>Plotly Dash, ipyleaflet</w:t>
            </w:r>
          </w:p>
        </w:tc>
        <w:tc>
          <w:tcPr>
            <w:tcW w:type="dxa" w:w="2880"/>
          </w:tcPr>
          <w:p>
            <w:r>
              <w:t>Representación multimodal</w:t>
            </w:r>
          </w:p>
        </w:tc>
      </w:tr>
      <w:tr>
        <w:tc>
          <w:tcPr>
            <w:tcW w:type="dxa" w:w="1728"/>
          </w:tcPr>
          <w:p>
            <w:r>
              <w:t>Despliegue</w:t>
            </w:r>
          </w:p>
        </w:tc>
        <w:tc>
          <w:tcPr>
            <w:tcW w:type="dxa" w:w="2880"/>
          </w:tcPr>
          <w:p>
            <w:r>
              <w:t>Voilà + Docker, Telegram Bot</w:t>
            </w:r>
          </w:p>
        </w:tc>
        <w:tc>
          <w:tcPr>
            <w:tcW w:type="dxa" w:w="2880"/>
          </w:tcPr>
          <w:p>
            <w:r>
              <w:t>Acceso multiplataforma</w:t>
            </w:r>
          </w:p>
        </w:tc>
      </w:tr>
    </w:tbl>
    <w:p>
      <w:pPr>
        <w:pStyle w:val="Heading2"/>
      </w:pPr>
      <w:r>
        <w:t>1.3 Fase 3 - Validación Contextualizada (3 meses)</w:t>
      </w:r>
    </w:p>
    <w:p>
      <w:r>
        <w:rPr>
          <w:b/>
          <w:i w:val="0"/>
        </w:rPr>
        <w:t>Estrategias mejoradas:</w:t>
      </w:r>
    </w:p>
    <w:p>
      <w:pPr>
        <w:ind w:left="360"/>
      </w:pPr>
      <w:r>
        <w:rPr>
          <w:b w:val="0"/>
          <w:i w:val="0"/>
        </w:rPr>
        <w:t>1. Validación técnica con pruebas A/B en 3 escenarios diferentes</w:t>
      </w:r>
    </w:p>
    <w:p>
      <w:pPr>
        <w:ind w:left="360"/>
      </w:pPr>
      <w:r>
        <w:rPr>
          <w:b w:val="0"/>
          <w:i w:val="0"/>
        </w:rPr>
        <w:t>2. Capacitación mediante ECAs con módulos STEAM especializados</w:t>
      </w:r>
    </w:p>
    <w:p>
      <w:pPr>
        <w:ind w:left="360"/>
      </w:pPr>
      <w:r>
        <w:rPr>
          <w:b w:val="0"/>
          <w:i w:val="0"/>
        </w:rPr>
        <w:t>3. Evaluación de impacto con métricas cuantitativas y cualitativas</w:t>
      </w:r>
    </w:p>
    <w:p>
      <w:r>
        <w:br w:type="page"/>
      </w:r>
    </w:p>
    <w:p>
      <w:pPr>
        <w:pStyle w:val="Heading1"/>
      </w:pPr>
      <w:r>
        <w:t>2. Ajustes Clave al Diseño Original</w:t>
      </w:r>
    </w:p>
    <w:p>
      <w:r>
        <w:rPr>
          <w:b w:val="0"/>
          <w:i w:val="0"/>
        </w:rPr>
        <w:t>• Integración STEAM con circuitos lógicos educativos</w:t>
      </w:r>
    </w:p>
    <w:p>
      <w:r>
        <w:rPr>
          <w:b w:val="0"/>
          <w:i w:val="0"/>
        </w:rPr>
        <w:t>• Enfoque en escalabilidad con arquitectura modular</w:t>
      </w:r>
    </w:p>
    <w:p>
      <w:r>
        <w:rPr>
          <w:b w:val="0"/>
          <w:i w:val="0"/>
        </w:rPr>
        <w:t>• Validación rigurosa con protocolo de 3 niveles</w:t>
      </w:r>
    </w:p>
    <w:p>
      <w:r>
        <w:rPr>
          <w:b w:val="0"/>
          <w:i w:val="0"/>
        </w:rPr>
        <w:t>• Modelo de sostenibilidad con gobernanza local</w:t>
      </w:r>
    </w:p>
    <w:p>
      <w:pPr>
        <w:pStyle w:val="Heading1"/>
      </w:pPr>
      <w:r>
        <w:t>3. Ejemplo de Implementación Técnica</w:t>
      </w:r>
    </w:p>
    <w:p>
      <w:r>
        <w:rPr>
          <w:b/>
          <w:i w:val="0"/>
        </w:rPr>
        <w:t>Código Python para modelado LSTM: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20"/>
        </w:rPr>
        <w:t># Configuración mejorada para modelado LSTM agrícola</w:t>
        <w:br/>
        <w:t>import tensorflow as tf</w:t>
        <w:br/>
        <w:t>from tensorflow.keras.layers import LSTM, Dense, Input</w:t>
        <w:br/>
        <w:t>from tensorflow.keras.models import Model</w:t>
        <w:br/>
        <w:br/>
        <w:t>def build_hybrid_model(input_shape):</w:t>
        <w:br/>
        <w:t xml:space="preserve">    inputs = Input(shape=input_shape)</w:t>
        <w:br/>
        <w:t xml:space="preserve">    x = LSTM(64, return_sequences=True, dropout=0.2)(inputs)</w:t>
        <w:br/>
        <w:t xml:space="preserve">    x = LSTM(32, dropout=0.2)(x)</w:t>
        <w:br/>
        <w:t xml:space="preserve">    x = Dense(16, activation='relu')(x)</w:t>
        <w:br/>
        <w:t xml:space="preserve">    output = Dense(1, activation='sigmoid')(x)  # Probabilidad de pérdida</w:t>
        <w:br/>
        <w:br/>
        <w:t xml:space="preserve">    model = Model(inputs=inputs, outputs=output)</w:t>
        <w:br/>
        <w:t xml:space="preserve">    model.compile(optimizer='adam', loss='binary_crossentropy', </w:t>
        <w:br/>
        <w:t xml:space="preserve">                 metrics=['accuracy', tf.keras.metrics.AUC()])</w:t>
        <w:br/>
        <w:t xml:space="preserve">    return model</w:t>
      </w:r>
    </w:p>
    <w:p>
      <w:pPr>
        <w:pStyle w:val="Heading1"/>
      </w:pPr>
      <w:r>
        <w:t>4. Evaluación Continua STEAM</w:t>
      </w:r>
    </w:p>
    <w:p>
      <w:r>
        <w:rPr>
          <w:b/>
          <w:i w:val="0"/>
        </w:rPr>
        <w:t>Rúbrica de evaluación multidimensional: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Indicadores</w:t>
            </w:r>
          </w:p>
        </w:tc>
        <w:tc>
          <w:tcPr>
            <w:tcW w:type="dxa" w:w="2592"/>
          </w:tcPr>
          <w:p>
            <w:r>
              <w:rPr>
                <w:b/>
              </w:rPr>
              <w:t>Instrumentos</w:t>
            </w:r>
          </w:p>
        </w:tc>
      </w:tr>
      <w:tr>
        <w:tc>
          <w:tcPr>
            <w:tcW w:type="dxa" w:w="1728"/>
          </w:tcPr>
          <w:p>
            <w:r>
              <w:t>Científica</w:t>
            </w:r>
          </w:p>
        </w:tc>
        <w:tc>
          <w:tcPr>
            <w:tcW w:type="dxa" w:w="2880"/>
          </w:tcPr>
          <w:p>
            <w:r>
              <w:t>Precisión modelos (RMSE, AUC)</w:t>
            </w:r>
          </w:p>
        </w:tc>
        <w:tc>
          <w:tcPr>
            <w:tcW w:type="dxa" w:w="2592"/>
          </w:tcPr>
          <w:p>
            <w:r>
              <w:t>Validación cruzada</w:t>
            </w:r>
          </w:p>
        </w:tc>
      </w:tr>
      <w:tr>
        <w:tc>
          <w:tcPr>
            <w:tcW w:type="dxa" w:w="1728"/>
          </w:tcPr>
          <w:p>
            <w:r>
              <w:t>Tecnológica</w:t>
            </w:r>
          </w:p>
        </w:tc>
        <w:tc>
          <w:tcPr>
            <w:tcW w:type="dxa" w:w="2880"/>
          </w:tcPr>
          <w:p>
            <w:r>
              <w:t>Usabilidad (System Usability Scale)</w:t>
            </w:r>
          </w:p>
        </w:tc>
        <w:tc>
          <w:tcPr>
            <w:tcW w:type="dxa" w:w="2592"/>
          </w:tcPr>
          <w:p>
            <w:r>
              <w:t>Encuestas a usuarios</w:t>
            </w:r>
          </w:p>
        </w:tc>
      </w:tr>
      <w:tr>
        <w:tc>
          <w:tcPr>
            <w:tcW w:type="dxa" w:w="1728"/>
          </w:tcPr>
          <w:p>
            <w:r>
              <w:t>Artística</w:t>
            </w:r>
          </w:p>
        </w:tc>
        <w:tc>
          <w:tcPr>
            <w:tcW w:type="dxa" w:w="2880"/>
          </w:tcPr>
          <w:p>
            <w:r>
              <w:t>Claridad visualizaciones</w:t>
            </w:r>
          </w:p>
        </w:tc>
        <w:tc>
          <w:tcPr>
            <w:tcW w:type="dxa" w:w="2592"/>
          </w:tcPr>
          <w:p>
            <w:r>
              <w:t>Grupos focales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2880"/>
          </w:tcPr>
          <w:p>
            <w:r>
              <w:t>Consistencia modelos estadísticos</w:t>
            </w:r>
          </w:p>
        </w:tc>
        <w:tc>
          <w:tcPr>
            <w:tcW w:type="dxa" w:w="2592"/>
          </w:tcPr>
          <w:p>
            <w:r>
              <w:t>Pruebas de hipótesis</w:t>
            </w:r>
          </w:p>
        </w:tc>
      </w:tr>
      <w:tr>
        <w:tc>
          <w:tcPr>
            <w:tcW w:type="dxa" w:w="1728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Impacto en toma de decisiones</w:t>
            </w:r>
          </w:p>
        </w:tc>
        <w:tc>
          <w:tcPr>
            <w:tcW w:type="dxa" w:w="2592"/>
          </w:tcPr>
          <w:p>
            <w:r>
              <w:t>Entrevistas a agricultores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0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