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/>
          <w:b/>
          <w:sz w:val="32"/>
        </w:rPr>
        <w:t>"Investigación-Acción Educativa (IAE) en la Enseñanza del Álgebra Lineal para Ingeniería Agropecuaria: Un Enfoque hacia la Ciencia de Datos y la Optimización Agrícola"</w:t>
      </w:r>
    </w:p>
    <w:p>
      <w:pPr>
        <w:jc w:val="center"/>
      </w:pPr>
    </w:p>
    <w:p>
      <w:pPr>
        <w:jc w:val="center"/>
      </w:pPr>
      <w:r>
        <w:rPr>
          <w:b/>
          <w:sz w:val="24"/>
        </w:rPr>
        <w:t>Marco Julio Cañas Campillo</w:t>
      </w:r>
      <w:r>
        <w:rPr>
          <w:sz w:val="20"/>
          <w:vertAlign w:val="superscript"/>
        </w:rPr>
        <w:t>1</w:t>
      </w:r>
      <w:r>
        <w:br/>
        <w:t>Universidad de Antioquia, Colombia</w:t>
        <w:br/>
      </w:r>
    </w:p>
    <w:p>
      <w:pPr>
        <w:jc w:val="center"/>
      </w:pPr>
    </w:p>
    <w:p>
      <w:pPr>
        <w:jc w:val="center"/>
      </w:pPr>
      <w:r>
        <w:rPr>
          <w:i/>
          <w:sz w:val="24"/>
        </w:rPr>
        <w:t>Congreso Humanos XXI (7-9 de octubre, modalidad virtual)</w:t>
        <w:br/>
      </w:r>
      <w:r>
        <w:rPr>
          <w:color w:val="0000FF"/>
          <w:sz w:val="24"/>
        </w:rPr>
        <w:t>https://fundacioniai.org/humanosxxi/</w:t>
      </w:r>
    </w:p>
    <w:p>
      <w:r>
        <w:br w:type="page"/>
      </w:r>
    </w:p>
    <w:p>
      <w:pPr>
        <w:pStyle w:val="Heading1"/>
        <w:jc w:val="left"/>
      </w:pPr>
      <w:r>
        <w:t>Notas</w:t>
      </w:r>
    </w:p>
    <w:p>
      <w:r>
        <w:rPr>
          <w:b/>
        </w:rPr>
        <w:t xml:space="preserve">1 </w:t>
      </w:r>
      <w:r>
        <w:t>Profesor Facultad de Ciencias Agrarias, Campus Caucasia</w:t>
        <w:br/>
        <w:t xml:space="preserve">        Docente Ocasional de Tiempo Completo</w:t>
        <w:br/>
        <w:t xml:space="preserve">        Investigador — Grupo GIBACC</w:t>
        <w:br/>
        <w:t xml:space="preserve">        Dirección de Regionalización, Universidad de Antioquia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