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"Investigación-Acción Educativa (IAE) en la Enseñanza del Álgebra Lineal para Ingeniería Agropecuaria: Un Enfoque hacia la Ciencia de Datos y la Optimización Agrícola"</w:t>
      </w:r>
    </w:p>
    <w:p>
      <w:pPr>
        <w:jc w:val="center"/>
      </w:pPr>
      <w:r>
        <w:rPr>
          <w:b/>
        </w:rPr>
        <w:t>Marco Julio Cañas Campillo</w:t>
        <w:br/>
      </w:r>
      <w:r>
        <w:t>Universidad de Antioquia, Dirección de Regionalización</w:t>
        <w:br/>
      </w:r>
      <w:r>
        <w:t>Profesor Facultad de Ciencias Agrarias, Campus Caucasia</w:t>
        <w:br/>
      </w:r>
      <w:r>
        <w:t>Docente Ocasional de Tiempo Completo</w:t>
        <w:br/>
      </w:r>
      <w:r>
        <w:t>Investigador — Grupo GIBACC</w:t>
        <w:br/>
      </w:r>
    </w:p>
    <w:p>
      <w:pPr>
        <w:jc w:val="center"/>
      </w:pPr>
      <w:r>
        <w:rPr>
          <w:i/>
        </w:rPr>
        <w:t>Congreso Humanos XXI (7-9 de octubre, modalidad virtual)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1. Resumen</w:t>
      </w:r>
    </w:p>
    <w:p>
      <w:pPr/>
      <w:r>
        <w:t>Objetivo:</w:t>
      </w:r>
    </w:p>
    <w:p>
      <w:pPr/>
      <w:r>
        <w:t>Este trabajo reflexivo propone un modelo innovador de curso de álgebra lineal basado en Investigación-Acción Educativa (IAE), diseñado para el programa de Ingeniería Agropecuaria de la Universidad de Antioquia (Campus Caucasia). El objetivo central es cerrar la brecha entre la formación académica y las demandas reales del sector agropecuario colombiano, integrando fundamentos de ciencia de datos con aplicaciones prácticas en optimización de procesos agrícolas.</w:t>
      </w:r>
    </w:p>
    <w:p/>
    <w:p>
      <w:pPr/>
      <w:r>
        <w:t>Metodología:</w:t>
      </w:r>
    </w:p>
    <w:p>
      <w:pPr/>
      <w:r>
        <w:t>El diseño sigue ciclos iterativos de planificación-acción-observación-reflexión, vinculando:</w:t>
      </w:r>
    </w:p>
    <w:p>
      <w:pPr/>
      <w:r>
        <w:t>1. Contenidos teóricos (vectores, matrices, sistemas lineales, PCA, SVD) con problemas reales del Bajo Cauca antioqueño (ej.: análisis de rendimiento de cultivos de arroz).</w:t>
      </w:r>
    </w:p>
    <w:p>
      <w:pPr/>
      <w:r>
        <w:t>2. Herramientas computacionales (Python, Scikit-Learn, TensorFlow, Keras) para implementar modelos predictivos simples.</w:t>
      </w:r>
    </w:p>
    <w:p>
      <w:pPr/>
      <w:r>
        <w:t>3. Evaluación continua mediante portafolios estudiantiles y proyectos aplicados con agricultores locales.</w:t>
      </w:r>
    </w:p>
    <w:p/>
    <w:p>
      <w:pPr/>
      <w:r>
        <w:t>Resultados esperados:</w:t>
      </w:r>
    </w:p>
    <w:p>
      <w:pPr/>
      <w:r>
        <w:t>1. Impacto pedagógico: mejora en la pertinencia curricular y motivación estudiantil.</w:t>
      </w:r>
    </w:p>
    <w:p>
      <w:pPr/>
      <w:r>
        <w:t>2. Impacto social: soluciones accesibles para pequeños productores.</w:t>
      </w:r>
    </w:p>
    <w:p>
      <w:pPr/>
      <w:r>
        <w:t>3. Divulgación: publicación de hallazgos en la Revista Transdisciplinary Science y réplica del modelo en otras ingenierías con enfoque rural.</w:t>
      </w:r>
    </w:p>
    <w:p/>
    <w:p>
      <w:pPr/>
      <w:r>
        <w:t>Contribución a HUMANOS-XXI:</w:t>
      </w:r>
    </w:p>
    <w:p>
      <w:pPr/>
      <w:r>
        <w:t>Se alinea con los ejes temáticos: "formación profesional" y "ciencia transdisciplinar para el desarrollo".</w:t>
      </w:r>
    </w:p>
    <w:p/>
    <w:p>
      <w:pPr/>
      <w:r>
        <w:t>Palabras clave: Educación en ingeniería; Álgebra lineal aplicada; Ciencia de datos; Ingeniería agropecuaria; Investigación-Acción Educativa; Transdisciplinariedad; Innovación pedagógica.</w:t>
      </w:r>
    </w:p>
    <w:p>
      <w:pPr>
        <w:pStyle w:val="Heading1"/>
      </w:pPr>
      <w:r>
        <w:rPr>
          <w:rFonts w:ascii="Times New Roman" w:hAnsi="Times New Roman" w:eastAsia="Times New Roman"/>
        </w:rPr>
        <w:t>2. Introducción</w:t>
      </w:r>
    </w:p>
    <w:p>
      <w:pPr/>
      <w:r>
        <w:t>**Contexto y justificación**</w:t>
      </w:r>
    </w:p>
    <w:p>
      <w:pPr/>
      <w:r>
        <w:t>En el ámbito de la educación en ingeniería agropecuaria, persiste una problemática crítica: existe una marcada desconexión entre la enseñanza tradicional del álgebra lineal y las demandas actuales del sector agropecuario en la era del big data [(Ricardo, 2021)](https://www.redalyc.org/journal/4757/475769312007/html/).</w:t>
      </w:r>
    </w:p>
    <w:p/>
    <w:p>
      <w:pPr/>
      <w:r>
        <w:t>**Objetivos**</w:t>
      </w:r>
    </w:p>
    <w:p>
      <w:pPr/>
      <w:r>
        <w:t>Este trabajo reflexivo se plantea dos objetivos fundamentales:</w:t>
      </w:r>
    </w:p>
    <w:p>
      <w:pPr/>
      <w:r>
        <w:t>1. Diseñar un curso innovador de álgebra lineal basado en Investigación-Acción Educativa (IAE)</w:t>
      </w:r>
    </w:p>
    <w:p>
      <w:pPr/>
      <w:r>
        <w:t>2. Evaluar el impacto de esta innovación curricular</w:t>
      </w:r>
    </w:p>
    <w:p>
      <w:pPr>
        <w:pStyle w:val="Heading1"/>
      </w:pPr>
      <w:r>
        <w:rPr>
          <w:rFonts w:ascii="Times New Roman" w:hAnsi="Times New Roman" w:eastAsia="Times New Roman"/>
        </w:rPr>
        <w:t>3. Marco Teórico</w:t>
      </w:r>
    </w:p>
    <w:p>
      <w:pPr/>
      <w:r>
        <w:t>**Investigación-Acción Educativa (IAE)**</w:t>
      </w:r>
    </w:p>
    <w:p>
      <w:pPr/>
      <w:r>
        <w:t>La Investigación-Acción Educativa (IAE) constituye el pilar metodológico de esta propuesta...</w:t>
      </w:r>
    </w:p>
    <w:p/>
    <w:p>
      <w:pPr/>
      <w:r>
        <w:t>**Álgebra Lineal para Ciencia de Datos**</w:t>
      </w:r>
    </w:p>
    <w:p>
      <w:pPr/>
      <w:r>
        <w:t>El marco conceptual técnico se fundamenta en la obra de Géron (2022)...</w:t>
      </w:r>
    </w:p>
    <w:p/>
    <w:p>
      <w:pPr/>
      <w:r>
        <w:t>**Transdisciplinariedad**</w:t>
      </w:r>
    </w:p>
    <w:p>
      <w:pPr/>
      <w:r>
        <w:t>La propuesta articula cuatro dominios de conocimiento...</w:t>
      </w:r>
    </w:p>
    <w:p>
      <w:pPr>
        <w:pStyle w:val="Heading2"/>
      </w:pPr>
      <w:r>
        <w:rPr>
          <w:rFonts w:ascii="Times New Roman" w:hAnsi="Times New Roman" w:eastAsia="Times New Roman"/>
        </w:rPr>
        <w:t>3.1 Investigación-Acción Educativa (IAE)</w:t>
      </w:r>
    </w:p>
    <w:p>
      <w:pPr/>
      <w:r>
        <w:t>La Investigación-Acción Educativa (IAE) constituye el pilar metodológico de esta propuesta, fundamentada en el modelo de ciclos reflexivos propuesto por Kemmis y McTaggart (1988)  [Latorre](chrome-extension://efaidnbmnnnibpcajpcglclefindmkaj/https://www.uv.mx/rmipe/files/2019/07/La-investigacion-accion-conocer-y-cambiar-la-practica-educativa.pdf). Este enfoque se estructura en cuatro fases iterativas: 1) planificación, 2) acción, 3) observación, y 4) reflexión, que permiten una mejora continua del proceso educativo basada en evidencia empírica.</w:t>
      </w:r>
    </w:p>
    <w:p>
      <w:pPr>
        <w:pStyle w:val="Heading2"/>
      </w:pPr>
      <w:r>
        <w:rPr>
          <w:rFonts w:ascii="Times New Roman" w:hAnsi="Times New Roman" w:eastAsia="Times New Roman"/>
        </w:rPr>
        <w:t>3.2 Álgebra Lineal para Ciencia de Datos</w:t>
      </w:r>
    </w:p>
    <w:p>
      <w:pPr/>
      <w:r>
        <w:t>El marco conceptual técnico se fundamenta...</w:t>
      </w:r>
    </w:p>
    <w:p>
      <w:pPr>
        <w:pStyle w:val="Heading1"/>
      </w:pPr>
      <w:r>
        <w:rPr>
          <w:rFonts w:ascii="Times New Roman" w:hAnsi="Times New Roman" w:eastAsia="Times New Roman"/>
        </w:rPr>
        <w:t>4. Metodología</w:t>
      </w:r>
    </w:p>
    <w:p/>
    <w:p/>
    <w:p/>
    <w:p>
      <w:pPr>
        <w:pStyle w:val="Heading1"/>
      </w:pPr>
      <w:r>
        <w:t>Referencias</w:t>
      </w:r>
    </w:p>
    <w:p>
      <w:pPr>
        <w:ind w:left="720" w:hanging="720"/>
      </w:pPr>
      <w:r>
        <w:rPr>
          <w:rFonts w:ascii="Times New Roman" w:hAnsi="Times New Roman" w:eastAsia="Times New Roman"/>
          <w:sz w:val="22"/>
        </w:rPr>
        <w:t>Géron, A. (2022). Hands-on machine learning with Scikit-Learn, Keras, and TensorFlow (3ª ed.). O'Reilly Media.</w:t>
      </w:r>
    </w:p>
    <w:p>
      <w:pPr>
        <w:ind w:left="720" w:hanging="720"/>
      </w:pPr>
      <w:r>
        <w:rPr>
          <w:rFonts w:ascii="Times New Roman" w:hAnsi="Times New Roman" w:eastAsia="Times New Roman"/>
          <w:sz w:val="22"/>
        </w:rPr>
        <w:t>Kemmis, S., &amp; McTaggart, R. (1988). The action research planner (3ª ed.). Deakin University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