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spacing w:line="360" w:lineRule="auto"/>
        <w:jc w:val="center"/>
      </w:pPr>
      <w:r>
        <w:rPr>
          <w:rFonts w:ascii="Times New Roman" w:hAnsi="Times New Roman" w:eastAsia="Times New Roman"/>
          <w:b/>
          <w:sz w:val="32"/>
        </w:rPr>
        <w:t>Investigación-Acción Educativa (IAE) en la Enseñanza del Álgebra Lineal para Ingeniería Agropecuaria: Un Enfoque hacia la Ciencia de Datos y la Optimización Agrícola</w:t>
      </w:r>
    </w:p>
    <w:p>
      <w:pPr>
        <w:jc w:val="center"/>
      </w:pPr>
    </w:p>
    <w:p>
      <w:pPr>
        <w:spacing w:line="360" w:lineRule="auto"/>
        <w:jc w:val="center"/>
      </w:pPr>
      <w:r>
        <w:rPr>
          <w:rFonts w:ascii="Times New Roman" w:hAnsi="Times New Roman" w:eastAsia="Times New Roman"/>
          <w:sz w:val="24"/>
        </w:rPr>
        <w:t>Marco Julio Cañas Campillo</w:t>
        <w:br/>
        <w:t>Universidad de Antioquia</w:t>
      </w:r>
    </w:p>
    <w:p>
      <w:pPr>
        <w:jc w:val="center"/>
      </w:pPr>
    </w:p>
    <w:p>
      <w:pPr>
        <w:spacing w:line="360" w:lineRule="auto"/>
        <w:jc w:val="center"/>
      </w:pPr>
      <w:r>
        <w:rPr>
          <w:rFonts w:ascii="Times New Roman" w:hAnsi="Times New Roman" w:eastAsia="Times New Roman"/>
          <w:sz w:val="24"/>
        </w:rPr>
        <w:t>Humanos XXI</w:t>
        <w:br/>
        <w:t>7 al 9 de Octubre de 2025</w:t>
      </w:r>
    </w:p>
    <w:p>
      <w:r>
        <w:br w:type="page"/>
      </w:r>
    </w:p>
    <w:p>
      <w:pPr>
        <w:spacing w:line="360" w:lineRule="auto"/>
        <w:jc w:val="center"/>
      </w:pPr>
      <w:r>
        <w:rPr>
          <w:rFonts w:ascii="Times New Roman" w:hAnsi="Times New Roman" w:eastAsia="Times New Roman"/>
          <w:b/>
          <w:sz w:val="28"/>
        </w:rPr>
        <w:t>1. 2. Resumen</w:t>
      </w:r>
    </w:p>
    <w:p>
      <w:pPr>
        <w:spacing w:line="360" w:lineRule="auto"/>
        <w:jc w:val="both"/>
      </w:pPr>
      <w:r>
        <w:rPr>
          <w:rFonts w:ascii="Times New Roman" w:hAnsi="Times New Roman" w:eastAsia="Times New Roman"/>
          <w:sz w:val="24"/>
        </w:rPr>
        <w:t>Objetivo:</w:t>
      </w:r>
    </w:p>
    <w:p>
      <w:pPr>
        <w:spacing w:line="360" w:lineRule="auto"/>
        <w:jc w:val="both"/>
      </w:pPr>
      <w:r>
        <w:rPr>
          <w:rFonts w:ascii="Times New Roman" w:hAnsi="Times New Roman" w:eastAsia="Times New Roman"/>
          <w:sz w:val="24"/>
        </w:rPr>
        <w:t>Este trabajo reflexivo propone un modelo innovador de curso de álgebra lineal basado en Investigación-Acción Educativa (IAE), diseñado para el programa de Ingeniería Agropecuaria de la Universidad de Antioquia (Campus Caucasia). El objetivo central es cerrar la brecha entre la formación académica y las demandas reales del sector agropecuario colombiano, integrando fundamentos de ciencia de datos (Géron, 2022) (https://github.com/ageron/handson-ml3) con aplicaciones prácticas en optimización de procesos agrícolas.</w:t>
      </w:r>
    </w:p>
    <w:p/>
    <w:p>
      <w:pPr>
        <w:spacing w:line="360" w:lineRule="auto"/>
        <w:jc w:val="both"/>
      </w:pPr>
      <w:r>
        <w:rPr>
          <w:rFonts w:ascii="Times New Roman" w:hAnsi="Times New Roman" w:eastAsia="Times New Roman"/>
          <w:sz w:val="24"/>
        </w:rPr>
        <w:t>Metodología:</w:t>
      </w:r>
    </w:p>
    <w:p>
      <w:pPr>
        <w:spacing w:line="360" w:lineRule="auto"/>
        <w:jc w:val="both"/>
      </w:pPr>
      <w:r>
        <w:rPr>
          <w:rFonts w:ascii="Times New Roman" w:hAnsi="Times New Roman" w:eastAsia="Times New Roman"/>
          <w:sz w:val="24"/>
        </w:rPr>
        <w:t>El diseño sigue ciclos iterativos de planificación-acción-observación-reflexión (Kemmis &amp; McTaggart, 2014 (chrome-extension://efaidnbmnnnibpcajpcglclefindmkaj/https://educons.edu.rs/wp-content/uploads/2020/05/2014-The-Action-Research-Planner.pdf)),</w:t>
      </w:r>
    </w:p>
    <w:p/>
    <w:p>
      <w:pPr>
        <w:spacing w:line="360" w:lineRule="auto"/>
        <w:jc w:val="both"/>
      </w:pPr>
      <w:r>
        <w:rPr>
          <w:rFonts w:ascii="Times New Roman" w:hAnsi="Times New Roman" w:eastAsia="Times New Roman"/>
          <w:sz w:val="24"/>
        </w:rPr>
        <w:t>vinculando:</w:t>
      </w:r>
    </w:p>
    <w:p/>
    <w:p>
      <w:pPr>
        <w:spacing w:line="360" w:lineRule="auto"/>
        <w:jc w:val="both"/>
      </w:pPr>
      <w:r>
        <w:rPr>
          <w:rFonts w:ascii="Times New Roman" w:hAnsi="Times New Roman" w:eastAsia="Times New Roman"/>
          <w:sz w:val="24"/>
        </w:rPr>
        <w:t>1. Contenidos teóricos (vectores, matrices, sistemas lineales, Análisis de Componentes principales (PCA) y Descomposición en Valores Singulares (SVD)) con problemas reales del Bajo Cauca antioqueño (ej: análisis de rendimiento de cultivos de arroz).</w:t>
      </w:r>
    </w:p>
    <w:p>
      <w:pPr>
        <w:spacing w:line="360" w:lineRule="auto"/>
        <w:jc w:val="both"/>
      </w:pPr>
      <w:r>
        <w:rPr>
          <w:rFonts w:ascii="Times New Roman" w:hAnsi="Times New Roman" w:eastAsia="Times New Roman"/>
          <w:sz w:val="24"/>
        </w:rPr>
        <w:t>2. Herramientas computacionales (Python, Scikit-Learn, TensorFlow, Keras, Visual Studio Code y Google Colab) para implementar modelos predictivos simples.</w:t>
      </w:r>
    </w:p>
    <w:p>
      <w:pPr>
        <w:spacing w:line="360" w:lineRule="auto"/>
        <w:jc w:val="both"/>
      </w:pPr>
      <w:r>
        <w:rPr>
          <w:rFonts w:ascii="Times New Roman" w:hAnsi="Times New Roman" w:eastAsia="Times New Roman"/>
          <w:sz w:val="24"/>
        </w:rPr>
        <w:t>3. Evaluación continua mediante portafolios estudiantiles y proyectos aplicados con agricultores locales, quices, parciales, videos y participación en el espacio de discusión en GitHub (https://github.com/marco-canas/vectorgeometryandlinearalgebra/discussions/1).</w:t>
      </w:r>
    </w:p>
    <w:p/>
    <w:p>
      <w:pPr>
        <w:spacing w:line="360" w:lineRule="auto"/>
        <w:jc w:val="both"/>
      </w:pPr>
      <w:r>
        <w:rPr>
          <w:rFonts w:ascii="Times New Roman" w:hAnsi="Times New Roman" w:eastAsia="Times New Roman"/>
          <w:sz w:val="24"/>
        </w:rPr>
        <w:t>Resultados esperados:</w:t>
      </w:r>
    </w:p>
    <w:p/>
    <w:p>
      <w:pPr>
        <w:spacing w:line="360" w:lineRule="auto"/>
        <w:jc w:val="both"/>
      </w:pPr>
      <w:r>
        <w:rPr>
          <w:rFonts w:ascii="Times New Roman" w:hAnsi="Times New Roman" w:eastAsia="Times New Roman"/>
          <w:sz w:val="24"/>
        </w:rPr>
        <w:t>1. Impacto pedagógico: Mejora en la pertinencia curricular y motivación estudiantil al conectar las matemáticas con desafíos agroindustriales.</w:t>
      </w:r>
    </w:p>
    <w:p>
      <w:pPr>
        <w:spacing w:line="360" w:lineRule="auto"/>
        <w:jc w:val="both"/>
      </w:pPr>
      <w:r>
        <w:rPr>
          <w:rFonts w:ascii="Times New Roman" w:hAnsi="Times New Roman" w:eastAsia="Times New Roman"/>
          <w:sz w:val="24"/>
        </w:rPr>
        <w:t>2. Impacto social: Soluciones accesibles para pequeños productores (ej: predicción de cosechas de arroz mediante modelos de machine learning y deep learning).</w:t>
      </w:r>
    </w:p>
    <w:p>
      <w:pPr>
        <w:spacing w:line="360" w:lineRule="auto"/>
        <w:jc w:val="both"/>
      </w:pPr>
      <w:r>
        <w:rPr>
          <w:rFonts w:ascii="Times New Roman" w:hAnsi="Times New Roman" w:eastAsia="Times New Roman"/>
          <w:sz w:val="24"/>
        </w:rPr>
        <w:t>3. Divulgación: Publicación de hallazgos en la Revista Transdisciplinary Science (https://fundacioniai.org/Journal/) (en caso de selección) y réplica del modelo en otras ingenierías con enfoque rural.</w:t>
      </w:r>
    </w:p>
    <w:p/>
    <w:p>
      <w:pPr>
        <w:spacing w:line="360" w:lineRule="auto"/>
        <w:jc w:val="both"/>
      </w:pPr>
      <w:r>
        <w:rPr>
          <w:rFonts w:ascii="Times New Roman" w:hAnsi="Times New Roman" w:eastAsia="Times New Roman"/>
          <w:sz w:val="24"/>
        </w:rPr>
        <w:t>Contribución a HUMANOS-XXI:</w:t>
      </w:r>
    </w:p>
    <w:p>
      <w:pPr>
        <w:spacing w:line="360" w:lineRule="auto"/>
        <w:jc w:val="both"/>
      </w:pPr>
      <w:r>
        <w:rPr>
          <w:rFonts w:ascii="Times New Roman" w:hAnsi="Times New Roman" w:eastAsia="Times New Roman"/>
          <w:sz w:val="24"/>
        </w:rPr>
        <w:t>Este trabajo se alinea con los ejes temáticos del congreso:</w:t>
      </w:r>
    </w:p>
    <w:p/>
    <w:p>
      <w:pPr>
        <w:spacing w:line="360" w:lineRule="auto"/>
        <w:jc w:val="both"/>
      </w:pPr>
      <w:r>
        <w:rPr>
          <w:rFonts w:ascii="Times New Roman" w:hAnsi="Times New Roman" w:eastAsia="Times New Roman"/>
          <w:sz w:val="24"/>
        </w:rPr>
        <w:t>• "Por un sistema de educación que realmente forme profesionales", al demostrar cómo la IAE mejora la empleabilidad de los ingenieros agropecuarios.</w:t>
      </w:r>
    </w:p>
    <w:p>
      <w:pPr>
        <w:spacing w:line="360" w:lineRule="auto"/>
        <w:jc w:val="both"/>
      </w:pPr>
      <w:r>
        <w:rPr>
          <w:rFonts w:ascii="Times New Roman" w:hAnsi="Times New Roman" w:eastAsia="Times New Roman"/>
          <w:sz w:val="24"/>
        </w:rPr>
        <w:t>• "Ciencia transdisciplinar para el desarrollo", al integrar matemáticas, agronomía y tecnología con un enfoque de justicia social para el campo colombiano.</w:t>
      </w:r>
    </w:p>
    <w:p/>
    <w:p>
      <w:pPr>
        <w:spacing w:line="360" w:lineRule="auto"/>
        <w:jc w:val="both"/>
      </w:pPr>
      <w:r>
        <w:rPr>
          <w:rFonts w:ascii="Times New Roman" w:hAnsi="Times New Roman" w:eastAsia="Times New Roman"/>
          <w:sz w:val="24"/>
        </w:rPr>
        <w:t>Palabras clave: Educación en ingeniería, Álgebra lineal aplicada, Ciencia de datos, Ingeniería agropecuaria, Investigación-Acción Educativa, Transdisciplinariedad, Innovación pedagógica.</w:t>
      </w:r>
    </w:p>
    <w:p>
      <w:pPr>
        <w:spacing w:line="360" w:lineRule="auto"/>
        <w:jc w:val="center"/>
      </w:pPr>
      <w:r>
        <w:rPr>
          <w:rFonts w:ascii="Times New Roman" w:hAnsi="Times New Roman" w:eastAsia="Times New Roman"/>
          <w:b/>
          <w:sz w:val="28"/>
        </w:rPr>
        <w:t>2. 3. Introducción</w:t>
      </w:r>
    </w:p>
    <w:p>
      <w:pPr>
        <w:spacing w:line="360" w:lineRule="auto"/>
        <w:jc w:val="both"/>
      </w:pPr>
      <w:r>
        <w:rPr>
          <w:rFonts w:ascii="Times New Roman" w:hAnsi="Times New Roman" w:eastAsia="Times New Roman"/>
          <w:sz w:val="24"/>
        </w:rPr>
        <w:t>3. Introducción</w:t>
      </w:r>
    </w:p>
    <w:p/>
    <w:p>
      <w:pPr>
        <w:spacing w:line="360" w:lineRule="auto"/>
        <w:jc w:val="both"/>
      </w:pPr>
      <w:r>
        <w:rPr>
          <w:rFonts w:ascii="Times New Roman" w:hAnsi="Times New Roman" w:eastAsia="Times New Roman"/>
          <w:sz w:val="24"/>
        </w:rPr>
        <w:t>3.1. Contexto y justificación</w:t>
      </w:r>
    </w:p>
    <w:p/>
    <w:p>
      <w:pPr>
        <w:spacing w:line="360" w:lineRule="auto"/>
        <w:jc w:val="both"/>
      </w:pPr>
      <w:r>
        <w:rPr>
          <w:rFonts w:ascii="Times New Roman" w:hAnsi="Times New Roman" w:eastAsia="Times New Roman"/>
          <w:sz w:val="24"/>
        </w:rPr>
        <w:t>En el ámbito de la educación en ingeniería agropecuaria, persiste una problemática crítica: existe una marcada desconexión entre la enseñanza tradicional del álgebra lineal y las demandas actuales del sector agropecuario en la era la big data (Ricardo, 2021) (https://www.redalyc.org/journal/4757/475769312007/html/). Esta brecha se manifiesta particularmente en regiones como el Bajo Cauca antioqueño, donde los ingenieros agropecuarios requieren herramientas analíticas avanzadas para optimizar procesos productivos, pero carecen de formación en métodos cuantitativos aplicables a problemas reales del sector.</w:t>
      </w:r>
    </w:p>
    <w:p/>
    <w:p>
      <w:pPr>
        <w:spacing w:line="360" w:lineRule="auto"/>
        <w:jc w:val="both"/>
      </w:pPr>
      <w:r>
        <w:rPr>
          <w:rFonts w:ascii="Times New Roman" w:hAnsi="Times New Roman" w:eastAsia="Times New Roman"/>
          <w:sz w:val="24"/>
        </w:rPr>
        <w:t>La enseñanza convencional del álgebra lineal en programas de ingeniería suele limitarse a desarrollos abstractos y ejercicios descontextualizados, sin vincularse con las necesidades específicas de la agricultura moderna. Esta situación contrasta con las exigencias del mercado laboral, donde la capacidad para analizar datos de cultivos, predecir rendimientos y optimizar recursos mediante técnicas de Machine Learning y Deep Learning se ha convertido en una competencia fundamental (Álvarez, 2023) (https://dialnet.unirioja.es/servlet/tesis?codigo=360979).</w:t>
      </w:r>
    </w:p>
    <w:p/>
    <w:p>
      <w:pPr>
        <w:spacing w:line="360" w:lineRule="auto"/>
        <w:jc w:val="both"/>
      </w:pPr>
      <w:r>
        <w:rPr>
          <w:rFonts w:ascii="Times New Roman" w:hAnsi="Times New Roman" w:eastAsia="Times New Roman"/>
          <w:sz w:val="24"/>
        </w:rPr>
        <w:t>Esta propuesta adquiere especial relevancia para el congreso HUMANOS-XXI al alinearse con sus ejes temáticos centrales:</w:t>
      </w:r>
    </w:p>
    <w:p/>
    <w:p>
      <w:pPr>
        <w:spacing w:line="360" w:lineRule="auto"/>
        <w:jc w:val="both"/>
      </w:pPr>
      <w:r>
        <w:rPr>
          <w:rFonts w:ascii="Times New Roman" w:hAnsi="Times New Roman" w:eastAsia="Times New Roman"/>
          <w:sz w:val="24"/>
        </w:rPr>
        <w:t>1. "Por un Sistema de Educación que realmente forme profesionales": El modelo presentado busca transformar la enseñanza matemática desde un enfoque aplicado, garantizando que los futuros ingenieros desarrollen competencias directamente útiles para el sector productivo.</w:t>
      </w:r>
    </w:p>
    <w:p/>
    <w:p>
      <w:pPr>
        <w:spacing w:line="360" w:lineRule="auto"/>
        <w:jc w:val="both"/>
      </w:pPr>
      <w:r>
        <w:rPr>
          <w:rFonts w:ascii="Times New Roman" w:hAnsi="Times New Roman" w:eastAsia="Times New Roman"/>
          <w:sz w:val="24"/>
        </w:rPr>
        <w:t>2. "Ciencia transdisciplinar para el desarrollo": La integración de álgebra lineal, ciencia de datos y agronomía representa un caso paradigmático de cómo la convergencia disciplinar puede generar soluciones innovadoras para desafíos agrícolas concretos.</w:t>
      </w:r>
    </w:p>
    <w:p/>
    <w:p>
      <w:pPr>
        <w:spacing w:line="360" w:lineRule="auto"/>
        <w:jc w:val="both"/>
      </w:pPr>
      <w:r>
        <w:rPr>
          <w:rFonts w:ascii="Times New Roman" w:hAnsi="Times New Roman" w:eastAsia="Times New Roman"/>
          <w:sz w:val="24"/>
        </w:rPr>
        <w:t>Además, la propuesta contribuye a la sobrevivencia humana en un sentido amplio, pues la optimización de procesos agrícolas mediante herramientas matemáticas resulta crucial para garantizar la seguridad alimentaria en un contexto de cambio climático y crecimiento poblacional (FAO, 2022) (https://www.fao.org/sustainability/es). En regiones como el Bajo Cauca, donde la agricultura constituye el principal sustento económico, esta aproximación adquiere una dimensión social adicional al potencialmente mejorar los ingresos de pequeños y medianos productores. Al mostrar la correlaciión entre el clima y el rendimiento de los cultivos de arroz.</w:t>
      </w:r>
    </w:p>
    <w:p/>
    <w:p>
      <w:pPr>
        <w:spacing w:line="360" w:lineRule="auto"/>
        <w:jc w:val="both"/>
      </w:pPr>
      <w:r>
        <w:rPr>
          <w:rFonts w:ascii="Times New Roman" w:hAnsi="Times New Roman" w:eastAsia="Times New Roman"/>
          <w:sz w:val="24"/>
        </w:rPr>
        <w:t>3.2. Objetivos</w:t>
      </w:r>
    </w:p>
    <w:p/>
    <w:p>
      <w:pPr>
        <w:spacing w:line="360" w:lineRule="auto"/>
        <w:jc w:val="both"/>
      </w:pPr>
      <w:r>
        <w:rPr>
          <w:rFonts w:ascii="Times New Roman" w:hAnsi="Times New Roman" w:eastAsia="Times New Roman"/>
          <w:sz w:val="24"/>
        </w:rPr>
        <w:t>Este trabajo reflexivo se plantea dos objetivos fundamentales:</w:t>
      </w:r>
    </w:p>
    <w:p/>
    <w:p>
      <w:pPr>
        <w:spacing w:line="360" w:lineRule="auto"/>
        <w:jc w:val="both"/>
      </w:pPr>
      <w:r>
        <w:rPr>
          <w:rFonts w:ascii="Times New Roman" w:hAnsi="Times New Roman" w:eastAsia="Times New Roman"/>
          <w:sz w:val="24"/>
        </w:rPr>
        <w:t>1. Diseñar un curso innovador de álgebra lineal basado en Investigación-Acción Educativa (IAE) que integre:</w:t>
      </w:r>
    </w:p>
    <w:p>
      <w:pPr>
        <w:spacing w:line="360" w:lineRule="auto"/>
        <w:jc w:val="both"/>
      </w:pPr>
      <w:r>
        <w:rPr>
          <w:rFonts w:ascii="Times New Roman" w:hAnsi="Times New Roman" w:eastAsia="Times New Roman"/>
          <w:sz w:val="24"/>
        </w:rPr>
        <w:t>• Los fundamentos matemáticos esenciales según estándares internacionales</w:t>
      </w:r>
    </w:p>
    <w:p>
      <w:pPr>
        <w:spacing w:line="360" w:lineRule="auto"/>
        <w:jc w:val="both"/>
      </w:pPr>
      <w:r>
        <w:rPr>
          <w:rFonts w:ascii="Times New Roman" w:hAnsi="Times New Roman" w:eastAsia="Times New Roman"/>
          <w:sz w:val="24"/>
        </w:rPr>
        <w:t>• Las técnicas de Machine Learning y Deep Learning aplicables al sector agropecuario (Géron, 2022 y Kamilaris, 2028 (https://www.sciencedirect.com/science/article/pii/S0168169917308803))</w:t>
      </w:r>
    </w:p>
    <w:p>
      <w:pPr>
        <w:spacing w:line="360" w:lineRule="auto"/>
        <w:jc w:val="both"/>
      </w:pPr>
      <w:r>
        <w:rPr>
          <w:rFonts w:ascii="Times New Roman" w:hAnsi="Times New Roman" w:eastAsia="Times New Roman"/>
          <w:sz w:val="24"/>
        </w:rPr>
        <w:t>• Problemas reales identificados en colaboración con productores del Bajo Cauca</w:t>
      </w:r>
    </w:p>
    <w:p/>
    <w:p>
      <w:pPr>
        <w:spacing w:line="360" w:lineRule="auto"/>
        <w:jc w:val="both"/>
      </w:pPr>
      <w:r>
        <w:rPr>
          <w:rFonts w:ascii="Times New Roman" w:hAnsi="Times New Roman" w:eastAsia="Times New Roman"/>
          <w:sz w:val="24"/>
        </w:rPr>
        <w:t>2. Evaluar el impacto de esta innovación curricular en:</w:t>
      </w:r>
    </w:p>
    <w:p>
      <w:pPr>
        <w:spacing w:line="360" w:lineRule="auto"/>
        <w:jc w:val="both"/>
      </w:pPr>
      <w:r>
        <w:rPr>
          <w:rFonts w:ascii="Times New Roman" w:hAnsi="Times New Roman" w:eastAsia="Times New Roman"/>
          <w:sz w:val="24"/>
        </w:rPr>
        <w:t>• La formación de competencias analíticas en los estudiantes de ingeniería agropecuaria</w:t>
      </w:r>
    </w:p>
    <w:p>
      <w:pPr>
        <w:spacing w:line="360" w:lineRule="auto"/>
        <w:jc w:val="both"/>
      </w:pPr>
      <w:r>
        <w:rPr>
          <w:rFonts w:ascii="Times New Roman" w:hAnsi="Times New Roman" w:eastAsia="Times New Roman"/>
          <w:sz w:val="24"/>
        </w:rPr>
        <w:t>• La generación de soluciones prácticas para desafíos regionales específicos (ej: modelos predictivos para cosechas de arroz, optimización de riego mediante sistemas lineales)</w:t>
      </w:r>
    </w:p>
    <w:p/>
    <w:p>
      <w:pPr>
        <w:spacing w:line="360" w:lineRule="auto"/>
        <w:jc w:val="both"/>
      </w:pPr>
      <w:r>
        <w:rPr>
          <w:rFonts w:ascii="Times New Roman" w:hAnsi="Times New Roman" w:eastAsia="Times New Roman"/>
          <w:sz w:val="24"/>
        </w:rPr>
        <w:t>La propuesta se sustenta en la hipótesis de que un enfoque pedagógico basado en Investigación Acción Educativa (IAE), que incorpore ciclos continuos de reflexión y mejora, permitirá acortar significativamente la brecha entre la formación académica y las necesidades del sector agroindustrial. Este modelo busca trascender el ámbito universitario para convertirse en un referente de innovación educativa aplicable a otras regiones agrícolas de Colombia y Latinoamérica.</w:t>
      </w:r>
    </w:p>
    <w:p>
      <w:pPr>
        <w:spacing w:line="360" w:lineRule="auto"/>
        <w:jc w:val="center"/>
      </w:pPr>
      <w:r>
        <w:rPr>
          <w:rFonts w:ascii="Times New Roman" w:hAnsi="Times New Roman" w:eastAsia="Times New Roman"/>
          <w:b/>
          <w:sz w:val="28"/>
        </w:rPr>
        <w:t>3. 4. Marco Teórico</w:t>
      </w:r>
    </w:p>
    <w:p>
      <w:pPr>
        <w:spacing w:line="360" w:lineRule="auto"/>
        <w:jc w:val="both"/>
      </w:pPr>
      <w:r>
        <w:rPr>
          <w:rFonts w:ascii="Times New Roman" w:hAnsi="Times New Roman" w:eastAsia="Times New Roman"/>
          <w:sz w:val="24"/>
        </w:rPr>
        <w:t>4.1. Investigación-Acción Educativa (IAE) (chrome-extension://efaidnbmnnnibpcajpcglclefindmkaj/https://educons.edu.rs/wp-content/uploads/2020/05/2014-The-Action-Research-Planner.pdf)</w:t>
      </w:r>
    </w:p>
    <w:p/>
    <w:p>
      <w:pPr>
        <w:spacing w:line="360" w:lineRule="auto"/>
        <w:jc w:val="both"/>
      </w:pPr>
      <w:r>
        <w:rPr>
          <w:rFonts w:ascii="Times New Roman" w:hAnsi="Times New Roman" w:eastAsia="Times New Roman"/>
          <w:sz w:val="24"/>
        </w:rPr>
        <w:t>La Investigación-Acción Educativa (IAE) constituye el pilar metodológico de esta propuesta, fundamentada en el modelo de ciclos reflexivos propuesto por Kemmis y McTaggart (1988)  Latorre (chrome-extension://efaidnbmnnnibpcajpcglclefindmkaj/https://www.uv.mx/rmipe/files/2019/07/La-investigacion-accion-conocer-y-cambiar-la-practica-educativa.pdf). Este enfoque se estructura en cuatro fases iterativas: 1) planificación, 2) acción, 3) observación, y 4) reflexión, que permiten una mejora continua del proceso educativo basada en evidencia empírica.</w:t>
      </w:r>
    </w:p>
    <w:p/>
    <w:p>
      <w:pPr>
        <w:spacing w:line="360" w:lineRule="auto"/>
        <w:jc w:val="both"/>
      </w:pPr>
      <w:r>
        <w:rPr>
          <w:rFonts w:ascii="Times New Roman" w:hAnsi="Times New Roman" w:eastAsia="Times New Roman"/>
          <w:sz w:val="24"/>
        </w:rPr>
        <w:t>En el contexto de educación superior, la IAE adquiere especial relevancia para superar la rigidez curricular tradicional. Según Elliott (1991) (https://books.google.com.co/books?id=eG5xSYGsdvAC&amp;printsec=frontcover&amp;hl=es&amp;source=gbsgesummary_r&amp;cad=0#v=onepage&amp;q&amp;f=false), su aplicación permite:</w:t>
      </w:r>
    </w:p>
    <w:p>
      <w:pPr>
        <w:spacing w:line="360" w:lineRule="auto"/>
        <w:jc w:val="both"/>
      </w:pPr>
      <w:r>
        <w:rPr>
          <w:rFonts w:ascii="Times New Roman" w:hAnsi="Times New Roman" w:eastAsia="Times New Roman"/>
          <w:sz w:val="24"/>
        </w:rPr>
        <w:t>• Adaptar contenidos a las necesidades emergentes del sector productivo</w:t>
      </w:r>
    </w:p>
    <w:p>
      <w:pPr>
        <w:spacing w:line="360" w:lineRule="auto"/>
        <w:jc w:val="both"/>
      </w:pPr>
      <w:r>
        <w:rPr>
          <w:rFonts w:ascii="Times New Roman" w:hAnsi="Times New Roman" w:eastAsia="Times New Roman"/>
          <w:sz w:val="24"/>
        </w:rPr>
        <w:t>• Incorporar activamente la voz de los estudiantes en el diseño pedagógico</w:t>
      </w:r>
    </w:p>
    <w:p>
      <w:pPr>
        <w:spacing w:line="360" w:lineRule="auto"/>
        <w:jc w:val="both"/>
      </w:pPr>
      <w:r>
        <w:rPr>
          <w:rFonts w:ascii="Times New Roman" w:hAnsi="Times New Roman" w:eastAsia="Times New Roman"/>
          <w:sz w:val="24"/>
        </w:rPr>
        <w:t>• Generar conocimiento situado a partir de problemas reales</w:t>
      </w:r>
    </w:p>
    <w:p/>
    <w:p>
      <w:pPr>
        <w:spacing w:line="360" w:lineRule="auto"/>
        <w:jc w:val="both"/>
      </w:pPr>
      <w:r>
        <w:rPr>
          <w:rFonts w:ascii="Times New Roman" w:hAnsi="Times New Roman" w:eastAsia="Times New Roman"/>
          <w:sz w:val="24"/>
        </w:rPr>
        <w:t>En nuestra propuesta, los ciclos de IAE se implementan mediante:</w:t>
      </w:r>
    </w:p>
    <w:p>
      <w:pPr>
        <w:spacing w:line="360" w:lineRule="auto"/>
        <w:jc w:val="both"/>
      </w:pPr>
      <w:r>
        <w:rPr>
          <w:rFonts w:ascii="Times New Roman" w:hAnsi="Times New Roman" w:eastAsia="Times New Roman"/>
          <w:sz w:val="24"/>
        </w:rPr>
        <w:t>1. Diagnóstico participativo: Encuestas a estudiantes y productores para identificar necesidades formativas</w:t>
      </w:r>
    </w:p>
    <w:p>
      <w:pPr>
        <w:spacing w:line="360" w:lineRule="auto"/>
        <w:jc w:val="both"/>
      </w:pPr>
      <w:r>
        <w:rPr>
          <w:rFonts w:ascii="Times New Roman" w:hAnsi="Times New Roman" w:eastAsia="Times New Roman"/>
          <w:sz w:val="24"/>
        </w:rPr>
        <w:t>2. Diseño colaborativo: Co-construcción de actividades con docentes del área agronómica</w:t>
      </w:r>
    </w:p>
    <w:p>
      <w:pPr>
        <w:spacing w:line="360" w:lineRule="auto"/>
        <w:jc w:val="both"/>
      </w:pPr>
      <w:r>
        <w:rPr>
          <w:rFonts w:ascii="Times New Roman" w:hAnsi="Times New Roman" w:eastAsia="Times New Roman"/>
          <w:sz w:val="24"/>
        </w:rPr>
        <w:t>3. Implementación monitorizada: Registro sistemático de dificultades de aprendizaje</w:t>
      </w:r>
    </w:p>
    <w:p>
      <w:pPr>
        <w:spacing w:line="360" w:lineRule="auto"/>
        <w:jc w:val="both"/>
      </w:pPr>
      <w:r>
        <w:rPr>
          <w:rFonts w:ascii="Times New Roman" w:hAnsi="Times New Roman" w:eastAsia="Times New Roman"/>
          <w:sz w:val="24"/>
        </w:rPr>
        <w:t>4. Evaluación formativa: Retroalimentación continua para ajustar contenidos</w:t>
      </w:r>
    </w:p>
    <w:p/>
    <w:p>
      <w:pPr>
        <w:spacing w:line="360" w:lineRule="auto"/>
        <w:jc w:val="both"/>
      </w:pPr>
      <w:r>
        <w:rPr>
          <w:rFonts w:ascii="Times New Roman" w:hAnsi="Times New Roman" w:eastAsia="Times New Roman"/>
          <w:sz w:val="24"/>
        </w:rPr>
        <w:t>Este modelo ha demostrado eficacia en estudios similares, como el de López (2020) en ingenierías agrícolas mexicanas, donde redujo en 40% la deserción en cursos matemáticos al vincularlos con aplicaciones concretas. OECD (2019), Educación superior en México: Resultados y relevancia para el mercado laboral, OECD Publishing, Paris, https://doi.org/10.1787/a93ed2b7-es.</w:t>
      </w:r>
    </w:p>
    <w:p/>
    <w:p>
      <w:pPr>
        <w:spacing w:line="360" w:lineRule="auto"/>
        <w:jc w:val="both"/>
      </w:pPr>
      <w:r>
        <w:rPr>
          <w:rFonts w:ascii="Times New Roman" w:hAnsi="Times New Roman" w:eastAsia="Times New Roman"/>
          <w:sz w:val="24"/>
        </w:rPr>
        <w:t>4.2. Álgebra Lineal para Ciencia de Datos</w:t>
      </w:r>
    </w:p>
    <w:p/>
    <w:p>
      <w:pPr>
        <w:spacing w:line="360" w:lineRule="auto"/>
        <w:jc w:val="both"/>
      </w:pPr>
      <w:r>
        <w:rPr>
          <w:rFonts w:ascii="Times New Roman" w:hAnsi="Times New Roman" w:eastAsia="Times New Roman"/>
          <w:sz w:val="24"/>
        </w:rPr>
        <w:t>El marco conceptual técnico se fundamenta en la obra de Géron (2022) (https://github.com/ageron/handson-ml3/blob/main/mathlinearalgebra.ipynb), que establece los pilares matemáticos del machine learning y el deep learning aplicado:</w:t>
      </w:r>
    </w:p>
    <w:p/>
    <w:p>
      <w:pPr>
        <w:spacing w:line="360" w:lineRule="auto"/>
        <w:jc w:val="both"/>
      </w:pPr>
      <w:r>
        <w:rPr>
          <w:rFonts w:ascii="Times New Roman" w:hAnsi="Times New Roman" w:eastAsia="Times New Roman"/>
          <w:sz w:val="24"/>
        </w:rPr>
        <w:t>4.2.1. Conceptos clave y aplicaciones agropecuarias</w:t>
      </w:r>
    </w:p>
    <w:p/>
    <w:p>
      <w:pPr>
        <w:spacing w:line="360" w:lineRule="auto"/>
        <w:jc w:val="both"/>
      </w:pPr>
      <w:r>
        <w:rPr>
          <w:rFonts w:ascii="Times New Roman" w:hAnsi="Times New Roman" w:eastAsia="Times New Roman"/>
          <w:sz w:val="24"/>
        </w:rPr>
        <w:t>1. Matrices y operaciones:</w:t>
      </w:r>
    </w:p>
    <w:p>
      <w:pPr>
        <w:spacing w:line="360" w:lineRule="auto"/>
        <w:jc w:val="both"/>
      </w:pPr>
      <w:r>
        <w:rPr>
          <w:rFonts w:ascii="Times New Roman" w:hAnsi="Times New Roman" w:eastAsia="Times New Roman"/>
          <w:sz w:val="24"/>
        </w:rPr>
        <w:t>• Representación de datasets agrícolas (rendimientos, variables climáticas)</w:t>
      </w:r>
    </w:p>
    <w:p>
      <w:pPr>
        <w:spacing w:line="360" w:lineRule="auto"/>
        <w:jc w:val="both"/>
      </w:pPr>
      <w:r>
        <w:rPr>
          <w:rFonts w:ascii="Times New Roman" w:hAnsi="Times New Roman" w:eastAsia="Times New Roman"/>
          <w:sz w:val="24"/>
        </w:rPr>
        <w:t>• Operaciones básicas para preprocesamiento de datos</w:t>
      </w:r>
    </w:p>
    <w:p>
      <w:pPr>
        <w:spacing w:line="360" w:lineRule="auto"/>
        <w:jc w:val="both"/>
      </w:pPr>
      <w:r>
        <w:rPr>
          <w:rFonts w:ascii="Times New Roman" w:hAnsi="Times New Roman" w:eastAsia="Times New Roman"/>
          <w:sz w:val="24"/>
        </w:rPr>
        <w:t>• Caso aplicado: Matriz de nutrientes en suelos del Bajo Cauca</w:t>
      </w:r>
    </w:p>
    <w:p/>
    <w:p>
      <w:pPr>
        <w:spacing w:line="360" w:lineRule="auto"/>
        <w:jc w:val="both"/>
      </w:pPr>
      <w:r>
        <w:rPr>
          <w:rFonts w:ascii="Times New Roman" w:hAnsi="Times New Roman" w:eastAsia="Times New Roman"/>
          <w:sz w:val="24"/>
        </w:rPr>
        <w:t>2. Sistemas de ecuaciones lineales:</w:t>
      </w:r>
    </w:p>
    <w:p>
      <w:pPr>
        <w:spacing w:line="360" w:lineRule="auto"/>
        <w:jc w:val="both"/>
      </w:pPr>
      <w:r>
        <w:rPr>
          <w:rFonts w:ascii="Times New Roman" w:hAnsi="Times New Roman" w:eastAsia="Times New Roman"/>
          <w:sz w:val="24"/>
        </w:rPr>
        <w:t>• Modelado de balances hídricos y nutricionales</w:t>
      </w:r>
    </w:p>
    <w:p>
      <w:pPr>
        <w:spacing w:line="360" w:lineRule="auto"/>
        <w:jc w:val="both"/>
      </w:pPr>
      <w:r>
        <w:rPr>
          <w:rFonts w:ascii="Times New Roman" w:hAnsi="Times New Roman" w:eastAsia="Times New Roman"/>
          <w:sz w:val="24"/>
        </w:rPr>
        <w:t>• Aplicación en sistemas de riego optimizado</w:t>
      </w:r>
    </w:p>
    <w:p>
      <w:pPr>
        <w:spacing w:line="360" w:lineRule="auto"/>
        <w:jc w:val="both"/>
      </w:pPr>
      <w:r>
        <w:rPr>
          <w:rFonts w:ascii="Times New Roman" w:hAnsi="Times New Roman" w:eastAsia="Times New Roman"/>
          <w:sz w:val="24"/>
        </w:rPr>
        <w:t>• Ejemplo: Determinación de mezclas de fertilizantes</w:t>
      </w:r>
    </w:p>
    <w:p/>
    <w:p>
      <w:pPr>
        <w:spacing w:line="360" w:lineRule="auto"/>
        <w:jc w:val="both"/>
      </w:pPr>
      <w:r>
        <w:rPr>
          <w:rFonts w:ascii="Times New Roman" w:hAnsi="Times New Roman" w:eastAsia="Times New Roman"/>
          <w:sz w:val="24"/>
        </w:rPr>
        <w:t>3. Descomposición matricial (PCA/SVD):</w:t>
      </w:r>
    </w:p>
    <w:p>
      <w:pPr>
        <w:spacing w:line="360" w:lineRule="auto"/>
        <w:jc w:val="both"/>
      </w:pPr>
      <w:r>
        <w:rPr>
          <w:rFonts w:ascii="Times New Roman" w:hAnsi="Times New Roman" w:eastAsia="Times New Roman"/>
          <w:sz w:val="24"/>
        </w:rPr>
        <w:t>• Reducción de dimensionalidad en imágenes multiespectrales</w:t>
      </w:r>
    </w:p>
    <w:p>
      <w:pPr>
        <w:spacing w:line="360" w:lineRule="auto"/>
        <w:jc w:val="both"/>
      </w:pPr>
      <w:r>
        <w:rPr>
          <w:rFonts w:ascii="Times New Roman" w:hAnsi="Times New Roman" w:eastAsia="Times New Roman"/>
          <w:sz w:val="24"/>
        </w:rPr>
        <w:t>• Identificación de patrones en cultivos mediante análisis de componentes principales</w:t>
      </w:r>
    </w:p>
    <w:p>
      <w:pPr>
        <w:spacing w:line="360" w:lineRule="auto"/>
        <w:jc w:val="both"/>
      </w:pPr>
      <w:r>
        <w:rPr>
          <w:rFonts w:ascii="Times New Roman" w:hAnsi="Times New Roman" w:eastAsia="Times New Roman"/>
          <w:sz w:val="24"/>
        </w:rPr>
        <w:t>• Estudio de caso: Detección temprana de estrés hídrico en palma aceitera</w:t>
      </w:r>
    </w:p>
    <w:p/>
    <w:p>
      <w:pPr>
        <w:spacing w:line="360" w:lineRule="auto"/>
        <w:jc w:val="both"/>
      </w:pPr>
      <w:r>
        <w:rPr>
          <w:rFonts w:ascii="Times New Roman" w:hAnsi="Times New Roman" w:eastAsia="Times New Roman"/>
          <w:sz w:val="24"/>
        </w:rPr>
        <w:t>4.2.2. Vinculación con Agricultura 4.0</w:t>
      </w:r>
    </w:p>
    <w:p/>
    <w:p>
      <w:pPr>
        <w:spacing w:line="360" w:lineRule="auto"/>
        <w:jc w:val="both"/>
      </w:pPr>
      <w:r>
        <w:rPr>
          <w:rFonts w:ascii="Times New Roman" w:hAnsi="Times New Roman" w:eastAsia="Times New Roman"/>
          <w:sz w:val="24"/>
        </w:rPr>
        <w:t>La integración de estas herramientas con tecnologías emergentes se evidencia en:</w:t>
      </w:r>
    </w:p>
    <w:p>
      <w:pPr>
        <w:spacing w:line="360" w:lineRule="auto"/>
        <w:jc w:val="both"/>
      </w:pPr>
      <w:r>
        <w:rPr>
          <w:rFonts w:ascii="Times New Roman" w:hAnsi="Times New Roman" w:eastAsia="Times New Roman"/>
          <w:sz w:val="24"/>
        </w:rPr>
        <w:t>• Precisión agrícola: Uso de álgebra tensorial en procesamiento de imágenes drones (Torres et al., 2021)</w:t>
      </w:r>
    </w:p>
    <w:p>
      <w:pPr>
        <w:spacing w:line="360" w:lineRule="auto"/>
        <w:jc w:val="both"/>
      </w:pPr>
      <w:r>
        <w:rPr>
          <w:rFonts w:ascii="Times New Roman" w:hAnsi="Times New Roman" w:eastAsia="Times New Roman"/>
          <w:sz w:val="24"/>
        </w:rPr>
        <w:t>• Predictive analytics: Modelos ARIMA para pronóstico de cosechas basados en autocovarianza matricial</w:t>
      </w:r>
    </w:p>
    <w:p>
      <w:pPr>
        <w:spacing w:line="360" w:lineRule="auto"/>
        <w:jc w:val="both"/>
      </w:pPr>
      <w:r>
        <w:rPr>
          <w:rFonts w:ascii="Times New Roman" w:hAnsi="Times New Roman" w:eastAsia="Times New Roman"/>
          <w:sz w:val="24"/>
        </w:rPr>
        <w:t>• Optimización logística: Problemas de transporte resueltos mediante programación lineal</w:t>
      </w:r>
    </w:p>
    <w:p/>
    <w:p>
      <w:pPr>
        <w:spacing w:line="360" w:lineRule="auto"/>
        <w:jc w:val="both"/>
      </w:pPr>
      <w:r>
        <w:rPr>
          <w:rFonts w:ascii="Times New Roman" w:hAnsi="Times New Roman" w:eastAsia="Times New Roman"/>
          <w:sz w:val="24"/>
        </w:rPr>
        <w:t>En Latinoamérica destacan experiencias como:</w:t>
      </w:r>
    </w:p>
    <w:p>
      <w:pPr>
        <w:spacing w:line="360" w:lineRule="auto"/>
        <w:jc w:val="both"/>
      </w:pPr>
      <w:r>
        <w:rPr>
          <w:rFonts w:ascii="Times New Roman" w:hAnsi="Times New Roman" w:eastAsia="Times New Roman"/>
          <w:sz w:val="24"/>
        </w:rPr>
        <w:t>• El sistema SIATA (Colombia) (https://siata.gov.co/portalWeb) para predicción meteorológica basado en álgebra matricial</w:t>
      </w:r>
    </w:p>
    <w:p>
      <w:pPr>
        <w:spacing w:line="360" w:lineRule="auto"/>
        <w:jc w:val="both"/>
      </w:pPr>
      <w:r>
        <w:rPr>
          <w:rFonts w:ascii="Times New Roman" w:hAnsi="Times New Roman" w:eastAsia="Times New Roman"/>
          <w:sz w:val="24"/>
        </w:rPr>
        <w:t>• La plataforma AgroIA (Brasil) (https://croplifela.org/es/actualidad/croplife-brasil-una-sola-voz-del-agronegocio) que emplea SVD en recomendación de cultivos</w:t>
      </w:r>
    </w:p>
    <w:p>
      <w:pPr>
        <w:spacing w:line="360" w:lineRule="auto"/>
        <w:jc w:val="both"/>
      </w:pPr>
      <w:r>
        <w:rPr>
          <w:rFonts w:ascii="Times New Roman" w:hAnsi="Times New Roman" w:eastAsia="Times New Roman"/>
          <w:sz w:val="24"/>
        </w:rPr>
        <w:t>• El proyecto Agrosmart (México) (chrome-extension://efaidnbmnnnibpcajpcglclefindmkaj/https://vortice.conagua.gob.mx/storage/files.conagua/upload/05022021_1612548107.pdf) para gestión óptima de recursos hídricos</w:t>
      </w:r>
    </w:p>
    <w:p/>
    <w:p>
      <w:pPr>
        <w:spacing w:line="360" w:lineRule="auto"/>
        <w:jc w:val="both"/>
      </w:pPr>
      <w:r>
        <w:rPr>
          <w:rFonts w:ascii="Times New Roman" w:hAnsi="Times New Roman" w:eastAsia="Times New Roman"/>
          <w:sz w:val="24"/>
        </w:rPr>
        <w:t>4.3. Transdisciplinariedad</w:t>
      </w:r>
    </w:p>
    <w:p/>
    <w:p>
      <w:pPr>
        <w:spacing w:line="360" w:lineRule="auto"/>
        <w:jc w:val="both"/>
      </w:pPr>
      <w:r>
        <w:rPr>
          <w:rFonts w:ascii="Times New Roman" w:hAnsi="Times New Roman" w:eastAsia="Times New Roman"/>
          <w:sz w:val="24"/>
        </w:rPr>
        <w:t>La propuesta articula cuatro dominios de conocimiento:</w:t>
      </w:r>
    </w:p>
    <w:p/>
    <w:p>
      <w:pPr>
        <w:spacing w:line="360" w:lineRule="auto"/>
        <w:jc w:val="both"/>
      </w:pPr>
      <w:r>
        <w:rPr>
          <w:rFonts w:ascii="Times New Roman" w:hAnsi="Times New Roman" w:eastAsia="Times New Roman"/>
          <w:sz w:val="24"/>
        </w:rPr>
        <w:t>1. Matemáticas:</w:t>
      </w:r>
    </w:p>
    <w:p>
      <w:pPr>
        <w:spacing w:line="360" w:lineRule="auto"/>
        <w:jc w:val="both"/>
      </w:pPr>
      <w:r>
        <w:rPr>
          <w:rFonts w:ascii="Times New Roman" w:hAnsi="Times New Roman" w:eastAsia="Times New Roman"/>
          <w:sz w:val="24"/>
        </w:rPr>
        <w:t>• Teoría de matrices y espacios vectoriales</w:t>
      </w:r>
    </w:p>
    <w:p>
      <w:pPr>
        <w:spacing w:line="360" w:lineRule="auto"/>
        <w:jc w:val="both"/>
      </w:pPr>
      <w:r>
        <w:rPr>
          <w:rFonts w:ascii="Times New Roman" w:hAnsi="Times New Roman" w:eastAsia="Times New Roman"/>
          <w:sz w:val="24"/>
        </w:rPr>
        <w:t>• Algoritmos numéricos para problemas a gran escala</w:t>
      </w:r>
    </w:p>
    <w:p/>
    <w:p>
      <w:pPr>
        <w:spacing w:line="360" w:lineRule="auto"/>
        <w:jc w:val="both"/>
      </w:pPr>
      <w:r>
        <w:rPr>
          <w:rFonts w:ascii="Times New Roman" w:hAnsi="Times New Roman" w:eastAsia="Times New Roman"/>
          <w:sz w:val="24"/>
        </w:rPr>
        <w:t>2. Agronomía:</w:t>
      </w:r>
    </w:p>
    <w:p>
      <w:pPr>
        <w:spacing w:line="360" w:lineRule="auto"/>
        <w:jc w:val="both"/>
      </w:pPr>
      <w:r>
        <w:rPr>
          <w:rFonts w:ascii="Times New Roman" w:hAnsi="Times New Roman" w:eastAsia="Times New Roman"/>
          <w:sz w:val="24"/>
        </w:rPr>
        <w:t>• Principios de fisiología vegetal y manejo de cultivos</w:t>
      </w:r>
    </w:p>
    <w:p>
      <w:pPr>
        <w:spacing w:line="360" w:lineRule="auto"/>
        <w:jc w:val="both"/>
      </w:pPr>
      <w:r>
        <w:rPr>
          <w:rFonts w:ascii="Times New Roman" w:hAnsi="Times New Roman" w:eastAsia="Times New Roman"/>
          <w:sz w:val="24"/>
        </w:rPr>
        <w:t>• Problemáticas específicas del trópico bajo</w:t>
      </w:r>
    </w:p>
    <w:p/>
    <w:p>
      <w:pPr>
        <w:spacing w:line="360" w:lineRule="auto"/>
        <w:jc w:val="both"/>
      </w:pPr>
      <w:r>
        <w:rPr>
          <w:rFonts w:ascii="Times New Roman" w:hAnsi="Times New Roman" w:eastAsia="Times New Roman"/>
          <w:sz w:val="24"/>
        </w:rPr>
        <w:t>3. Tecnología:</w:t>
      </w:r>
    </w:p>
    <w:p>
      <w:pPr>
        <w:spacing w:line="360" w:lineRule="auto"/>
        <w:jc w:val="both"/>
      </w:pPr>
      <w:r>
        <w:rPr>
          <w:rFonts w:ascii="Times New Roman" w:hAnsi="Times New Roman" w:eastAsia="Times New Roman"/>
          <w:sz w:val="24"/>
        </w:rPr>
        <w:t>• Frameworks de machine learning y deep learning (Scikit-Learn, TensorFlow)</w:t>
      </w:r>
    </w:p>
    <w:p>
      <w:pPr>
        <w:spacing w:line="360" w:lineRule="auto"/>
        <w:jc w:val="both"/>
      </w:pPr>
      <w:r>
        <w:rPr>
          <w:rFonts w:ascii="Times New Roman" w:hAnsi="Times New Roman" w:eastAsia="Times New Roman"/>
          <w:sz w:val="24"/>
        </w:rPr>
        <w:t>• Herramientas de visualización (Matplotlib, Plotly)</w:t>
      </w:r>
    </w:p>
    <w:p/>
    <w:p>
      <w:pPr>
        <w:spacing w:line="360" w:lineRule="auto"/>
        <w:jc w:val="both"/>
      </w:pPr>
      <w:r>
        <w:rPr>
          <w:rFonts w:ascii="Times New Roman" w:hAnsi="Times New Roman" w:eastAsia="Times New Roman"/>
          <w:sz w:val="24"/>
        </w:rPr>
        <w:t>4. Pedagogía:</w:t>
      </w:r>
    </w:p>
    <w:p>
      <w:pPr>
        <w:spacing w:line="360" w:lineRule="auto"/>
        <w:jc w:val="both"/>
      </w:pPr>
      <w:r>
        <w:rPr>
          <w:rFonts w:ascii="Times New Roman" w:hAnsi="Times New Roman" w:eastAsia="Times New Roman"/>
          <w:sz w:val="24"/>
        </w:rPr>
        <w:t>• Teorías de aprendizaje significativo (Ausubel)</w:t>
      </w:r>
    </w:p>
    <w:p>
      <w:pPr>
        <w:spacing w:line="360" w:lineRule="auto"/>
        <w:jc w:val="both"/>
      </w:pPr>
      <w:r>
        <w:rPr>
          <w:rFonts w:ascii="Times New Roman" w:hAnsi="Times New Roman" w:eastAsia="Times New Roman"/>
          <w:sz w:val="24"/>
        </w:rPr>
        <w:t>• Didáctica de las matemáticas aplicadas.</w:t>
      </w:r>
    </w:p>
    <w:p/>
    <w:p>
      <w:pPr>
        <w:spacing w:line="360" w:lineRule="auto"/>
        <w:jc w:val="both"/>
      </w:pPr>
      <w:r>
        <w:rPr>
          <w:rFonts w:ascii="Times New Roman" w:hAnsi="Times New Roman" w:eastAsia="Times New Roman"/>
          <w:sz w:val="24"/>
        </w:rPr>
        <w:t>Esta integración sigue el modelo de transdisciplinariedad de Nicolescu (2002), donde:</w:t>
      </w:r>
    </w:p>
    <w:p>
      <w:pPr>
        <w:spacing w:line="360" w:lineRule="auto"/>
        <w:jc w:val="both"/>
      </w:pPr>
      <w:r>
        <w:rPr>
          <w:rFonts w:ascii="Times New Roman" w:hAnsi="Times New Roman" w:eastAsia="Times New Roman"/>
          <w:sz w:val="24"/>
        </w:rPr>
        <w:t>• Los problemas agrícolas definen los requerimientos matemáticos</w:t>
      </w:r>
    </w:p>
    <w:p>
      <w:pPr>
        <w:spacing w:line="360" w:lineRule="auto"/>
        <w:jc w:val="both"/>
      </w:pPr>
      <w:r>
        <w:rPr>
          <w:rFonts w:ascii="Times New Roman" w:hAnsi="Times New Roman" w:eastAsia="Times New Roman"/>
          <w:sz w:val="24"/>
        </w:rPr>
        <w:t>• Las limitaciones tecnológicas condicionan las soluciones implementables</w:t>
      </w:r>
    </w:p>
    <w:p>
      <w:pPr>
        <w:spacing w:line="360" w:lineRule="auto"/>
        <w:jc w:val="both"/>
      </w:pPr>
      <w:r>
        <w:rPr>
          <w:rFonts w:ascii="Times New Roman" w:hAnsi="Times New Roman" w:eastAsia="Times New Roman"/>
          <w:sz w:val="24"/>
        </w:rPr>
        <w:t>• Los principios pedagógicos guían la secuencia de aprendizaje</w:t>
      </w:r>
    </w:p>
    <w:p/>
    <w:p>
      <w:pPr>
        <w:spacing w:line="360" w:lineRule="auto"/>
        <w:jc w:val="both"/>
      </w:pPr>
      <w:r>
        <w:rPr>
          <w:rFonts w:ascii="Times New Roman" w:hAnsi="Times New Roman" w:eastAsia="Times New Roman"/>
          <w:sz w:val="24"/>
        </w:rPr>
        <w:t>Ejemplos concretos de esta articulación incluyen:</w:t>
      </w:r>
    </w:p>
    <w:p>
      <w:pPr>
        <w:spacing w:line="360" w:lineRule="auto"/>
        <w:jc w:val="both"/>
      </w:pPr>
      <w:r>
        <w:rPr>
          <w:rFonts w:ascii="Times New Roman" w:hAnsi="Times New Roman" w:eastAsia="Times New Roman"/>
          <w:sz w:val="24"/>
        </w:rPr>
        <w:t>• El desarrollo de laboratorios virtuales que simulan sistemas de producción reales</w:t>
      </w:r>
    </w:p>
    <w:p>
      <w:pPr>
        <w:spacing w:line="360" w:lineRule="auto"/>
        <w:jc w:val="both"/>
      </w:pPr>
      <w:r>
        <w:rPr>
          <w:rFonts w:ascii="Times New Roman" w:hAnsi="Times New Roman" w:eastAsia="Times New Roman"/>
          <w:sz w:val="24"/>
        </w:rPr>
        <w:t>• La adaptación de algoritmos estándar a las particularidades de cultivos tropicales</w:t>
      </w:r>
    </w:p>
    <w:p>
      <w:pPr>
        <w:spacing w:line="360" w:lineRule="auto"/>
        <w:jc w:val="both"/>
      </w:pPr>
      <w:r>
        <w:rPr>
          <w:rFonts w:ascii="Times New Roman" w:hAnsi="Times New Roman" w:eastAsia="Times New Roman"/>
          <w:sz w:val="24"/>
        </w:rPr>
        <w:t>• La creación de materiales didácticos: Cuaderno Jupyter alojados en GitHub (español)</w:t>
      </w:r>
    </w:p>
    <w:p/>
    <w:p>
      <w:pPr>
        <w:spacing w:line="360" w:lineRule="auto"/>
        <w:jc w:val="both"/>
      </w:pPr>
      <w:r>
        <w:rPr>
          <w:rFonts w:ascii="Times New Roman" w:hAnsi="Times New Roman" w:eastAsia="Times New Roman"/>
          <w:sz w:val="24"/>
        </w:rPr>
        <w:t>Esta aproximación ha mostrado efectividad en contextos similares, como lo demuestra el proyecto MathAgro de la Universidad Nacional de Colombia (2021) (chrome-extension://efaidnbmnnnibpcajpcglclefindmkaj/https://plei2034.unal.edu.co/fileadmin/Documentos/PlanGlobaldeDesarrollo2019-2021.pdf), que logró incrementar en 35% la retención de conceptos matemáticos al vincularlos con problemas agronómicos concretos.</w:t>
      </w:r>
    </w:p>
    <w:p>
      <w:pPr>
        <w:spacing w:line="360" w:lineRule="auto"/>
        <w:jc w:val="center"/>
      </w:pPr>
      <w:r>
        <w:rPr>
          <w:rFonts w:ascii="Times New Roman" w:hAnsi="Times New Roman" w:eastAsia="Times New Roman"/>
          <w:b/>
          <w:sz w:val="28"/>
        </w:rPr>
        <w:t>4. 5. Metodología</w:t>
      </w:r>
    </w:p>
    <w:p/>
    <w:p>
      <w:pPr>
        <w:spacing w:line="360" w:lineRule="auto"/>
        <w:jc w:val="center"/>
      </w:pPr>
      <w:r>
        <w:rPr>
          <w:rFonts w:ascii="Times New Roman" w:hAnsi="Times New Roman" w:eastAsia="Times New Roman"/>
          <w:b/>
          <w:sz w:val="28"/>
        </w:rPr>
        <w:t>5. 5.1. Diseño del Curso con Enfoque IAE</w:t>
      </w:r>
    </w:p>
    <w:p>
      <w:pPr>
        <w:spacing w:line="360" w:lineRule="auto"/>
        <w:jc w:val="both"/>
      </w:pPr>
      <w:r>
        <w:rPr>
          <w:rFonts w:ascii="Times New Roman" w:hAnsi="Times New Roman" w:eastAsia="Times New Roman"/>
          <w:sz w:val="24"/>
        </w:rPr>
        <w:t>El diseño metodológico se estructura bajo los principios de la Investigación-Acción Educativa (IAE) (Kemmis &amp; McTaggart, 1988), adaptando sus ciclos reflexivos a la enseñanza del álgebra lineal en ingeniería agropecuaria. El proceso se divide en tres fases iterativas:</w:t>
      </w:r>
    </w:p>
    <w:p>
      <w:pPr>
        <w:spacing w:line="360" w:lineRule="auto"/>
        <w:jc w:val="center"/>
      </w:pPr>
      <w:r>
        <w:rPr>
          <w:rFonts w:ascii="Times New Roman" w:hAnsi="Times New Roman" w:eastAsia="Times New Roman"/>
          <w:b/>
          <w:sz w:val="28"/>
        </w:rPr>
        <w:t>6. Fase 1: Diagnóstico Participativo</w:t>
      </w:r>
    </w:p>
    <w:p>
      <w:pPr>
        <w:spacing w:line="360" w:lineRule="auto"/>
        <w:jc w:val="both"/>
      </w:pPr>
      <w:r>
        <w:rPr>
          <w:rFonts w:ascii="Times New Roman" w:hAnsi="Times New Roman" w:eastAsia="Times New Roman"/>
          <w:sz w:val="24"/>
        </w:rPr>
        <w:t>• Objetivo: Identificar las brechas entre la formación en álgebra lineal y las necesidades del sector agropecuario en el Bajo Cauca.</w:t>
      </w:r>
    </w:p>
    <w:p>
      <w:pPr>
        <w:spacing w:line="360" w:lineRule="auto"/>
        <w:jc w:val="both"/>
      </w:pPr>
      <w:r>
        <w:rPr>
          <w:rFonts w:ascii="Times New Roman" w:hAnsi="Times New Roman" w:eastAsia="Times New Roman"/>
          <w:sz w:val="24"/>
        </w:rPr>
        <w:t>• Actividades:</w:t>
      </w:r>
    </w:p>
    <w:p>
      <w:pPr>
        <w:spacing w:line="360" w:lineRule="auto"/>
        <w:jc w:val="both"/>
      </w:pPr>
      <w:r>
        <w:rPr>
          <w:rFonts w:ascii="Times New Roman" w:hAnsi="Times New Roman" w:eastAsia="Times New Roman"/>
          <w:sz w:val="24"/>
        </w:rPr>
        <w:t>1. Encuestas a estudiantes (n=30) del programa de Ingeniería Agropecuaria (UdeA, Caucasia):</w:t>
      </w:r>
    </w:p>
    <w:p>
      <w:pPr>
        <w:spacing w:line="360" w:lineRule="auto"/>
        <w:jc w:val="both"/>
      </w:pPr>
      <w:r>
        <w:rPr>
          <w:rFonts w:ascii="Times New Roman" w:hAnsi="Times New Roman" w:eastAsia="Times New Roman"/>
          <w:sz w:val="24"/>
        </w:rPr>
        <w:t>• Evaluación de conocimientos previos en álgebra lineal.</w:t>
      </w:r>
    </w:p>
    <w:p>
      <w:pPr>
        <w:spacing w:line="360" w:lineRule="auto"/>
        <w:jc w:val="both"/>
      </w:pPr>
      <w:r>
        <w:rPr>
          <w:rFonts w:ascii="Times New Roman" w:hAnsi="Times New Roman" w:eastAsia="Times New Roman"/>
          <w:sz w:val="24"/>
        </w:rPr>
        <w:t>• Percepción sobre la utilidad de las matemáticas en su campo profesional.</w:t>
      </w:r>
    </w:p>
    <w:p>
      <w:pPr>
        <w:spacing w:line="360" w:lineRule="auto"/>
        <w:jc w:val="both"/>
      </w:pPr>
      <w:r>
        <w:rPr>
          <w:rFonts w:ascii="Times New Roman" w:hAnsi="Times New Roman" w:eastAsia="Times New Roman"/>
          <w:sz w:val="24"/>
        </w:rPr>
        <w:t>2. Entrevistas semiestructuradas a agricultores y cooperativas locales (ej.: Fedearroz, Asociación de Cacaoteros):</w:t>
      </w:r>
    </w:p>
    <w:p>
      <w:pPr>
        <w:spacing w:line="360" w:lineRule="auto"/>
        <w:jc w:val="both"/>
      </w:pPr>
      <w:r>
        <w:rPr>
          <w:rFonts w:ascii="Times New Roman" w:hAnsi="Times New Roman" w:eastAsia="Times New Roman"/>
          <w:sz w:val="24"/>
        </w:rPr>
        <w:t>• Problemas técnicos que requieran análisis de datos (ej.: optimización de riego, predicción de cosechas).</w:t>
      </w:r>
    </w:p>
    <w:p>
      <w:pPr>
        <w:spacing w:line="360" w:lineRule="auto"/>
        <w:jc w:val="both"/>
      </w:pPr>
      <w:r>
        <w:rPr>
          <w:rFonts w:ascii="Times New Roman" w:hAnsi="Times New Roman" w:eastAsia="Times New Roman"/>
          <w:sz w:val="24"/>
        </w:rPr>
        <w:t>• Necesidades de capacitación en herramientas cuantitativas.</w:t>
      </w:r>
    </w:p>
    <w:p>
      <w:pPr>
        <w:spacing w:line="360" w:lineRule="auto"/>
        <w:jc w:val="both"/>
      </w:pPr>
      <w:r>
        <w:rPr>
          <w:rFonts w:ascii="Times New Roman" w:hAnsi="Times New Roman" w:eastAsia="Times New Roman"/>
          <w:sz w:val="24"/>
        </w:rPr>
        <w:t>3. Revisión de planes curriculares: Análisis comparativo con universidades que integran ciencia de datos en agronomía (ej.: Wageningen, ESALQ-USP).</w:t>
      </w:r>
    </w:p>
    <w:p>
      <w:pPr>
        <w:spacing w:line="360" w:lineRule="auto"/>
        <w:jc w:val="both"/>
      </w:pPr>
      <w:r>
        <w:rPr>
          <w:rFonts w:ascii="Times New Roman" w:hAnsi="Times New Roman" w:eastAsia="Times New Roman"/>
          <w:sz w:val="24"/>
        </w:rPr>
        <w:t>• Herramientas:</w:t>
      </w:r>
    </w:p>
    <w:p>
      <w:pPr>
        <w:spacing w:line="360" w:lineRule="auto"/>
        <w:jc w:val="both"/>
      </w:pPr>
      <w:r>
        <w:rPr>
          <w:rFonts w:ascii="Times New Roman" w:hAnsi="Times New Roman" w:eastAsia="Times New Roman"/>
          <w:sz w:val="24"/>
        </w:rPr>
        <w:t>• Google Forms para encuestas.</w:t>
      </w:r>
    </w:p>
    <w:p>
      <w:pPr>
        <w:spacing w:line="360" w:lineRule="auto"/>
        <w:jc w:val="both"/>
      </w:pPr>
      <w:r>
        <w:rPr>
          <w:rFonts w:ascii="Times New Roman" w:hAnsi="Times New Roman" w:eastAsia="Times New Roman"/>
          <w:sz w:val="24"/>
        </w:rPr>
        <w:t>• NVivo para análisis cualitativo de entrevistas.</w:t>
      </w:r>
    </w:p>
    <w:p>
      <w:pPr>
        <w:spacing w:line="360" w:lineRule="auto"/>
        <w:jc w:val="center"/>
      </w:pPr>
      <w:r>
        <w:rPr>
          <w:rFonts w:ascii="Times New Roman" w:hAnsi="Times New Roman" w:eastAsia="Times New Roman"/>
          <w:b/>
          <w:sz w:val="28"/>
        </w:rPr>
        <w:t>7. Fase 2: Implementación del Curso</w:t>
      </w:r>
    </w:p>
    <w:p>
      <w:pPr>
        <w:spacing w:line="360" w:lineRule="auto"/>
        <w:jc w:val="both"/>
      </w:pPr>
      <w:r>
        <w:rPr>
          <w:rFonts w:ascii="Times New Roman" w:hAnsi="Times New Roman" w:eastAsia="Times New Roman"/>
          <w:sz w:val="24"/>
        </w:rPr>
        <w:t>• Duración: 16 semanas, con módulos teórico-prácticos basados en el libro Hands-On Machine Learning (Géron, 2022).</w:t>
      </w:r>
    </w:p>
    <w:p>
      <w:pPr>
        <w:spacing w:line="360" w:lineRule="auto"/>
        <w:jc w:val="both"/>
      </w:pPr>
      <w:r>
        <w:rPr>
          <w:rFonts w:ascii="Times New Roman" w:hAnsi="Times New Roman" w:eastAsia="Times New Roman"/>
          <w:sz w:val="24"/>
        </w:rPr>
        <w:t>• Estructura:</w:t>
      </w:r>
    </w:p>
    <w:p/>
    <w:p>
      <w:pPr>
        <w:spacing w:line="360" w:lineRule="auto"/>
        <w:jc w:val="both"/>
      </w:pPr>
      <w:r>
        <w:rPr>
          <w:rFonts w:ascii="Times New Roman" w:hAnsi="Times New Roman" w:eastAsia="Times New Roman"/>
          <w:sz w:val="24"/>
        </w:rPr>
        <w:t>| Módulo               | Contenidos de Álgebra Lineal       | Aplicación Agropecuaria                          | Herramientas               |</w:t>
      </w:r>
    </w:p>
    <w:p>
      <w:pPr>
        <w:spacing w:line="360" w:lineRule="auto"/>
        <w:jc w:val="both"/>
      </w:pPr>
      <w:r>
        <w:rPr>
          <w:rFonts w:ascii="Times New Roman" w:hAnsi="Times New Roman" w:eastAsia="Times New Roman"/>
          <w:sz w:val="24"/>
        </w:rPr>
        <w:t>|--------------------------|----------------------------------------|-----------------------------------------------------|--------------------------------|</w:t>
      </w:r>
    </w:p>
    <w:p>
      <w:pPr>
        <w:spacing w:line="360" w:lineRule="auto"/>
        <w:jc w:val="both"/>
      </w:pPr>
      <w:r>
        <w:rPr>
          <w:rFonts w:ascii="Times New Roman" w:hAnsi="Times New Roman" w:eastAsia="Times New Roman"/>
          <w:sz w:val="24"/>
        </w:rPr>
        <w:t>| 1. Vectores y Matrices   | Operaciones básicas, transpuesta       | Organización de datos climáticos (ej.: temperatura, humedad) | NumPy, Pandas          |</w:t>
      </w:r>
    </w:p>
    <w:p>
      <w:pPr>
        <w:spacing w:line="360" w:lineRule="auto"/>
        <w:jc w:val="both"/>
      </w:pPr>
      <w:r>
        <w:rPr>
          <w:rFonts w:ascii="Times New Roman" w:hAnsi="Times New Roman" w:eastAsia="Times New Roman"/>
          <w:sz w:val="24"/>
        </w:rPr>
        <w:t>| 2. Sistemas Lineales    | Resolución Ax=b, inversión matricial   | Modelado de mezclas de fertilizantes                | SciPy, SymPy           |</w:t>
      </w:r>
    </w:p>
    <w:p>
      <w:pPr>
        <w:spacing w:line="360" w:lineRule="auto"/>
        <w:jc w:val="both"/>
      </w:pPr>
      <w:r>
        <w:rPr>
          <w:rFonts w:ascii="Times New Roman" w:hAnsi="Times New Roman" w:eastAsia="Times New Roman"/>
          <w:sz w:val="24"/>
        </w:rPr>
        <w:t>| 3. Descomposición SVD/PCA | Reducción de dimensionalidad          | Análisis de imágenes satelitales para detección de plagas | Scikit-Learn, OpenCV   |</w:t>
      </w:r>
    </w:p>
    <w:p/>
    <w:p>
      <w:pPr>
        <w:spacing w:line="360" w:lineRule="auto"/>
        <w:jc w:val="both"/>
      </w:pPr>
      <w:r>
        <w:rPr>
          <w:rFonts w:ascii="Times New Roman" w:hAnsi="Times New Roman" w:eastAsia="Times New Roman"/>
          <w:sz w:val="24"/>
        </w:rPr>
        <w:t>• Enfoque pedagógico:</w:t>
      </w:r>
    </w:p>
    <w:p>
      <w:pPr>
        <w:spacing w:line="360" w:lineRule="auto"/>
        <w:jc w:val="both"/>
      </w:pPr>
      <w:r>
        <w:rPr>
          <w:rFonts w:ascii="Times New Roman" w:hAnsi="Times New Roman" w:eastAsia="Times New Roman"/>
          <w:sz w:val="24"/>
        </w:rPr>
        <w:t>• Aprendizaje Basado en Proyectos (ABP): Cada módulo culmina con un caso real (ej.: predecir rendimiento de arroz usando regresión lineal).</w:t>
      </w:r>
    </w:p>
    <w:p>
      <w:pPr>
        <w:spacing w:line="360" w:lineRule="auto"/>
        <w:jc w:val="both"/>
      </w:pPr>
      <w:r>
        <w:rPr>
          <w:rFonts w:ascii="Times New Roman" w:hAnsi="Times New Roman" w:eastAsia="Times New Roman"/>
          <w:sz w:val="24"/>
        </w:rPr>
        <w:t>• Clases invertidas: Los estudiantes revisan material teórico en GitHub antes de las sesiones prácticas.</w:t>
      </w:r>
    </w:p>
    <w:p>
      <w:pPr>
        <w:spacing w:line="360" w:lineRule="auto"/>
        <w:jc w:val="both"/>
      </w:pPr>
      <w:r>
        <w:rPr>
          <w:rFonts w:ascii="Times New Roman" w:hAnsi="Times New Roman" w:eastAsia="Times New Roman"/>
          <w:sz w:val="24"/>
        </w:rPr>
        <w:t>• Tutorías con expertos: Incluye sesiones con ingenieros agrónomos y científicos de datos del sector.</w:t>
      </w:r>
    </w:p>
    <w:p>
      <w:pPr>
        <w:spacing w:line="360" w:lineRule="auto"/>
        <w:jc w:val="center"/>
      </w:pPr>
      <w:r>
        <w:rPr>
          <w:rFonts w:ascii="Times New Roman" w:hAnsi="Times New Roman" w:eastAsia="Times New Roman"/>
          <w:b/>
          <w:sz w:val="28"/>
        </w:rPr>
        <w:t>8. Fase 3: Evaluación Continua</w:t>
      </w:r>
    </w:p>
    <w:p>
      <w:pPr>
        <w:spacing w:line="360" w:lineRule="auto"/>
        <w:jc w:val="both"/>
      </w:pPr>
      <w:r>
        <w:rPr>
          <w:rFonts w:ascii="Times New Roman" w:hAnsi="Times New Roman" w:eastAsia="Times New Roman"/>
          <w:sz w:val="24"/>
        </w:rPr>
        <w:t>• Instrumentos:</w:t>
      </w:r>
    </w:p>
    <w:p>
      <w:pPr>
        <w:spacing w:line="360" w:lineRule="auto"/>
        <w:jc w:val="both"/>
      </w:pPr>
      <w:r>
        <w:rPr>
          <w:rFonts w:ascii="Times New Roman" w:hAnsi="Times New Roman" w:eastAsia="Times New Roman"/>
          <w:sz w:val="24"/>
        </w:rPr>
        <w:t>1. Portafolios digitales (GitHub):</w:t>
      </w:r>
    </w:p>
    <w:p>
      <w:pPr>
        <w:spacing w:line="360" w:lineRule="auto"/>
        <w:jc w:val="both"/>
      </w:pPr>
      <w:r>
        <w:rPr>
          <w:rFonts w:ascii="Times New Roman" w:hAnsi="Times New Roman" w:eastAsia="Times New Roman"/>
          <w:sz w:val="24"/>
        </w:rPr>
        <w:t>• Códigos en Python/Jupyter Notebooks.</w:t>
      </w:r>
    </w:p>
    <w:p>
      <w:pPr>
        <w:spacing w:line="360" w:lineRule="auto"/>
        <w:jc w:val="both"/>
      </w:pPr>
      <w:r>
        <w:rPr>
          <w:rFonts w:ascii="Times New Roman" w:hAnsi="Times New Roman" w:eastAsia="Times New Roman"/>
          <w:sz w:val="24"/>
        </w:rPr>
        <w:t>• Reportes técnicos que vinculen conceptos matemáticos con soluciones agrícolas.</w:t>
      </w:r>
    </w:p>
    <w:p>
      <w:pPr>
        <w:spacing w:line="360" w:lineRule="auto"/>
        <w:jc w:val="both"/>
      </w:pPr>
      <w:r>
        <w:rPr>
          <w:rFonts w:ascii="Times New Roman" w:hAnsi="Times New Roman" w:eastAsia="Times New Roman"/>
          <w:sz w:val="24"/>
        </w:rPr>
        <w:t>2. Rúbricas de competencias:</w:t>
      </w:r>
    </w:p>
    <w:p>
      <w:pPr>
        <w:spacing w:line="360" w:lineRule="auto"/>
        <w:jc w:val="both"/>
      </w:pPr>
      <w:r>
        <w:rPr>
          <w:rFonts w:ascii="Times New Roman" w:hAnsi="Times New Roman" w:eastAsia="Times New Roman"/>
          <w:sz w:val="24"/>
        </w:rPr>
        <w:t>• Dominio técnico (ej.: implementación de PCA).</w:t>
      </w:r>
    </w:p>
    <w:p>
      <w:pPr>
        <w:spacing w:line="360" w:lineRule="auto"/>
        <w:jc w:val="both"/>
      </w:pPr>
      <w:r>
        <w:rPr>
          <w:rFonts w:ascii="Times New Roman" w:hAnsi="Times New Roman" w:eastAsia="Times New Roman"/>
          <w:sz w:val="24"/>
        </w:rPr>
        <w:t>• Impacto social (ej.: utilidad para agricultores colaboradores).</w:t>
      </w:r>
    </w:p>
    <w:p>
      <w:pPr>
        <w:spacing w:line="360" w:lineRule="auto"/>
        <w:jc w:val="both"/>
      </w:pPr>
      <w:r>
        <w:rPr>
          <w:rFonts w:ascii="Times New Roman" w:hAnsi="Times New Roman" w:eastAsia="Times New Roman"/>
          <w:sz w:val="24"/>
        </w:rPr>
        <w:t>3. Focus Group: Discusiones bimestrales con estudiantes y productores para ajustar contenidos.</w:t>
      </w:r>
    </w:p>
    <w:p/>
    <w:p>
      <w:pPr>
        <w:spacing w:line="360" w:lineRule="auto"/>
        <w:jc w:val="both"/>
      </w:pPr>
      <w:r>
        <w:rPr>
          <w:rFonts w:ascii="Times New Roman" w:hAnsi="Times New Roman" w:eastAsia="Times New Roman"/>
          <w:sz w:val="24"/>
        </w:rPr>
        <w:t>---</w:t>
      </w:r>
    </w:p>
    <w:p>
      <w:pPr>
        <w:spacing w:line="360" w:lineRule="auto"/>
        <w:jc w:val="center"/>
      </w:pPr>
      <w:r>
        <w:rPr>
          <w:rFonts w:ascii="Times New Roman" w:hAnsi="Times New Roman" w:eastAsia="Times New Roman"/>
          <w:b/>
          <w:sz w:val="28"/>
        </w:rPr>
        <w:t>9. 5.2. Instrumentos y Recursos</w:t>
      </w:r>
    </w:p>
    <w:p/>
    <w:p>
      <w:pPr>
        <w:spacing w:line="360" w:lineRule="auto"/>
        <w:jc w:val="center"/>
      </w:pPr>
      <w:r>
        <w:rPr>
          <w:rFonts w:ascii="Times New Roman" w:hAnsi="Times New Roman" w:eastAsia="Times New Roman"/>
          <w:b/>
          <w:sz w:val="28"/>
        </w:rPr>
        <w:t>10. Herramientas Tecnológicas</w:t>
      </w:r>
    </w:p>
    <w:p>
      <w:pPr>
        <w:spacing w:line="360" w:lineRule="auto"/>
        <w:jc w:val="both"/>
      </w:pPr>
      <w:r>
        <w:rPr>
          <w:rFonts w:ascii="Times New Roman" w:hAnsi="Times New Roman" w:eastAsia="Times New Roman"/>
          <w:sz w:val="24"/>
        </w:rPr>
        <w:t>• Plataforma GitHub:</w:t>
      </w:r>
    </w:p>
    <w:p>
      <w:pPr>
        <w:spacing w:line="360" w:lineRule="auto"/>
        <w:jc w:val="both"/>
      </w:pPr>
      <w:r>
        <w:rPr>
          <w:rFonts w:ascii="Times New Roman" w:hAnsi="Times New Roman" w:eastAsia="Times New Roman"/>
          <w:sz w:val="24"/>
        </w:rPr>
        <w:t>• Repositorio del curso con notebooks adaptados de Géron (2022) (ej.: "Álgebra Lineal para ML" (https://github.com/ageron/handson-ml3/blob/main/mathlinearalgebra.ipynb)).</w:t>
      </w:r>
    </w:p>
    <w:p>
      <w:pPr>
        <w:spacing w:line="360" w:lineRule="auto"/>
        <w:jc w:val="both"/>
      </w:pPr>
      <w:r>
        <w:rPr>
          <w:rFonts w:ascii="Times New Roman" w:hAnsi="Times New Roman" w:eastAsia="Times New Roman"/>
          <w:sz w:val="24"/>
        </w:rPr>
        <w:t>• Base de datos públicos:</w:t>
      </w:r>
    </w:p>
    <w:p>
      <w:pPr>
        <w:spacing w:line="360" w:lineRule="auto"/>
        <w:jc w:val="both"/>
      </w:pPr>
      <w:r>
        <w:rPr>
          <w:rFonts w:ascii="Times New Roman" w:hAnsi="Times New Roman" w:eastAsia="Times New Roman"/>
          <w:sz w:val="24"/>
        </w:rPr>
        <w:t>• Agronet (https://www.agronet.gov.co) (producción agrícola por municipio).</w:t>
      </w:r>
    </w:p>
    <w:p>
      <w:pPr>
        <w:spacing w:line="360" w:lineRule="auto"/>
        <w:jc w:val="both"/>
      </w:pPr>
      <w:r>
        <w:rPr>
          <w:rFonts w:ascii="Times New Roman" w:hAnsi="Times New Roman" w:eastAsia="Times New Roman"/>
          <w:sz w:val="24"/>
        </w:rPr>
        <w:t>• IDEAM (https://www.ideam.gov.co) (datos climáticos históricos).</w:t>
      </w:r>
    </w:p>
    <w:p>
      <w:pPr>
        <w:spacing w:line="360" w:lineRule="auto"/>
        <w:jc w:val="both"/>
      </w:pPr>
      <w:r>
        <w:rPr>
          <w:rFonts w:ascii="Times New Roman" w:hAnsi="Times New Roman" w:eastAsia="Times New Roman"/>
          <w:sz w:val="24"/>
        </w:rPr>
        <w:t>• Software:</w:t>
      </w:r>
    </w:p>
    <w:p>
      <w:pPr>
        <w:spacing w:line="360" w:lineRule="auto"/>
        <w:jc w:val="both"/>
      </w:pPr>
      <w:r>
        <w:rPr>
          <w:rFonts w:ascii="Times New Roman" w:hAnsi="Times New Roman" w:eastAsia="Times New Roman"/>
          <w:sz w:val="24"/>
        </w:rPr>
        <w:t>• Python 3.9 + Bibliotecas (NumPy, Matplotlib, TensorFlow).</w:t>
      </w:r>
    </w:p>
    <w:p>
      <w:pPr>
        <w:spacing w:line="360" w:lineRule="auto"/>
        <w:jc w:val="both"/>
      </w:pPr>
      <w:r>
        <w:rPr>
          <w:rFonts w:ascii="Times New Roman" w:hAnsi="Times New Roman" w:eastAsia="Times New Roman"/>
          <w:sz w:val="24"/>
        </w:rPr>
        <w:t>• Google Colab para acceso remoto a recursos computacionales.</w:t>
      </w:r>
    </w:p>
    <w:p>
      <w:pPr>
        <w:spacing w:line="360" w:lineRule="auto"/>
        <w:jc w:val="center"/>
      </w:pPr>
      <w:r>
        <w:rPr>
          <w:rFonts w:ascii="Times New Roman" w:hAnsi="Times New Roman" w:eastAsia="Times New Roman"/>
          <w:b/>
          <w:sz w:val="28"/>
        </w:rPr>
        <w:t>11. Protocolos de Validación</w:t>
      </w:r>
    </w:p>
    <w:p>
      <w:pPr>
        <w:spacing w:line="360" w:lineRule="auto"/>
        <w:jc w:val="both"/>
      </w:pPr>
      <w:r>
        <w:rPr>
          <w:rFonts w:ascii="Times New Roman" w:hAnsi="Times New Roman" w:eastAsia="Times New Roman"/>
          <w:sz w:val="24"/>
        </w:rPr>
        <w:t>• Triangulación metodológica:</w:t>
      </w:r>
    </w:p>
    <w:p>
      <w:pPr>
        <w:spacing w:line="360" w:lineRule="auto"/>
        <w:jc w:val="both"/>
      </w:pPr>
      <w:r>
        <w:rPr>
          <w:rFonts w:ascii="Times New Roman" w:hAnsi="Times New Roman" w:eastAsia="Times New Roman"/>
          <w:sz w:val="24"/>
        </w:rPr>
        <w:t>• Comparación de resultados entre:</w:t>
      </w:r>
    </w:p>
    <w:p>
      <w:pPr>
        <w:spacing w:line="360" w:lineRule="auto"/>
        <w:jc w:val="both"/>
      </w:pPr>
      <w:r>
        <w:rPr>
          <w:rFonts w:ascii="Times New Roman" w:hAnsi="Times New Roman" w:eastAsia="Times New Roman"/>
          <w:sz w:val="24"/>
        </w:rPr>
        <w:t>1. Evaluaciones cuantitativas (ej.: puntajes en proyectos).</w:t>
      </w:r>
    </w:p>
    <w:p>
      <w:pPr>
        <w:spacing w:line="360" w:lineRule="auto"/>
        <w:jc w:val="both"/>
      </w:pPr>
      <w:r>
        <w:rPr>
          <w:rFonts w:ascii="Times New Roman" w:hAnsi="Times New Roman" w:eastAsia="Times New Roman"/>
          <w:sz w:val="24"/>
        </w:rPr>
        <w:t>2. Observaciones cualitativas (ej.: feedback de agricultores).</w:t>
      </w:r>
    </w:p>
    <w:p>
      <w:pPr>
        <w:spacing w:line="360" w:lineRule="auto"/>
        <w:jc w:val="both"/>
      </w:pPr>
      <w:r>
        <w:rPr>
          <w:rFonts w:ascii="Times New Roman" w:hAnsi="Times New Roman" w:eastAsia="Times New Roman"/>
          <w:sz w:val="24"/>
        </w:rPr>
        <w:t>3. Análisis de repositorios estudiantiles.</w:t>
      </w:r>
    </w:p>
    <w:p>
      <w:pPr>
        <w:spacing w:line="360" w:lineRule="auto"/>
        <w:jc w:val="both"/>
      </w:pPr>
      <w:r>
        <w:rPr>
          <w:rFonts w:ascii="Times New Roman" w:hAnsi="Times New Roman" w:eastAsia="Times New Roman"/>
          <w:sz w:val="24"/>
        </w:rPr>
        <w:t>• Criterios de rigor:</w:t>
      </w:r>
    </w:p>
    <w:p>
      <w:pPr>
        <w:spacing w:line="360" w:lineRule="auto"/>
        <w:jc w:val="both"/>
      </w:pPr>
      <w:r>
        <w:rPr>
          <w:rFonts w:ascii="Times New Roman" w:hAnsi="Times New Roman" w:eastAsia="Times New Roman"/>
          <w:sz w:val="24"/>
        </w:rPr>
        <w:t>• Credibilidad: Validación externa por pares académicos y actores del sector.</w:t>
      </w:r>
    </w:p>
    <w:p>
      <w:pPr>
        <w:spacing w:line="360" w:lineRule="auto"/>
        <w:jc w:val="both"/>
      </w:pPr>
      <w:r>
        <w:rPr>
          <w:rFonts w:ascii="Times New Roman" w:hAnsi="Times New Roman" w:eastAsia="Times New Roman"/>
          <w:sz w:val="24"/>
        </w:rPr>
        <w:t>• Transferibilidad: Documentación detallada para replicar el modelo en otras regiones.</w:t>
      </w:r>
    </w:p>
    <w:p/>
    <w:p>
      <w:pPr>
        <w:spacing w:line="360" w:lineRule="auto"/>
        <w:jc w:val="both"/>
      </w:pPr>
      <w:r>
        <w:rPr>
          <w:rFonts w:ascii="Times New Roman" w:hAnsi="Times New Roman" w:eastAsia="Times New Roman"/>
          <w:sz w:val="24"/>
        </w:rPr>
        <w:t>---</w:t>
      </w:r>
    </w:p>
    <w:p>
      <w:pPr>
        <w:spacing w:line="360" w:lineRule="auto"/>
        <w:jc w:val="center"/>
      </w:pPr>
      <w:r>
        <w:rPr>
          <w:rFonts w:ascii="Times New Roman" w:hAnsi="Times New Roman" w:eastAsia="Times New Roman"/>
          <w:b/>
          <w:sz w:val="28"/>
        </w:rPr>
        <w:t>12. 5.3. Consideraciones Éticas</w:t>
      </w:r>
    </w:p>
    <w:p>
      <w:pPr>
        <w:spacing w:line="360" w:lineRule="auto"/>
        <w:jc w:val="both"/>
      </w:pPr>
      <w:r>
        <w:rPr>
          <w:rFonts w:ascii="Times New Roman" w:hAnsi="Times New Roman" w:eastAsia="Times New Roman"/>
          <w:sz w:val="24"/>
        </w:rPr>
        <w:t>• Consentimiento informado: Participación voluntaria de estudiantes y agricultores.</w:t>
      </w:r>
    </w:p>
    <w:p>
      <w:pPr>
        <w:spacing w:line="360" w:lineRule="auto"/>
        <w:jc w:val="both"/>
      </w:pPr>
      <w:r>
        <w:rPr>
          <w:rFonts w:ascii="Times New Roman" w:hAnsi="Times New Roman" w:eastAsia="Times New Roman"/>
          <w:sz w:val="24"/>
        </w:rPr>
        <w:t>• Propiedad intelectual: Licencias Creative Commons para materiales educativos generados.</w:t>
      </w:r>
    </w:p>
    <w:p>
      <w:pPr>
        <w:spacing w:line="360" w:lineRule="auto"/>
        <w:jc w:val="both"/>
      </w:pPr>
      <w:r>
        <w:rPr>
          <w:rFonts w:ascii="Times New Roman" w:hAnsi="Times New Roman" w:eastAsia="Times New Roman"/>
          <w:sz w:val="24"/>
        </w:rPr>
        <w:t>• Inclusividad: Adaptación de contenidos para estudiantes con acceso limitado a internet (ej.: guías impresas, datos offline).</w:t>
      </w:r>
    </w:p>
    <w:p/>
    <w:p>
      <w:pPr>
        <w:spacing w:line="360" w:lineRule="auto"/>
        <w:jc w:val="both"/>
      </w:pPr>
      <w:r>
        <w:rPr>
          <w:rFonts w:ascii="Times New Roman" w:hAnsi="Times New Roman" w:eastAsia="Times New Roman"/>
          <w:sz w:val="24"/>
        </w:rPr>
        <w:t>---</w:t>
      </w:r>
    </w:p>
    <w:p>
      <w:pPr>
        <w:spacing w:line="360" w:lineRule="auto"/>
        <w:jc w:val="both"/>
      </w:pPr>
      <w:r>
        <w:rPr>
          <w:rFonts w:ascii="Times New Roman" w:hAnsi="Times New Roman" w:eastAsia="Times New Roman"/>
          <w:sz w:val="24"/>
        </w:rPr>
        <w:t>Nota: Esta metodología se alinea con los ejes del congreso HUMANOS-XXI al:</w:t>
      </w:r>
    </w:p>
    <w:p>
      <w:pPr>
        <w:spacing w:line="360" w:lineRule="auto"/>
        <w:jc w:val="both"/>
      </w:pPr>
      <w:r>
        <w:rPr>
          <w:rFonts w:ascii="Times New Roman" w:hAnsi="Times New Roman" w:eastAsia="Times New Roman"/>
          <w:sz w:val="24"/>
        </w:rPr>
        <w:t>1. Fortalecer la formación profesional mediante habilidades demandadas (ej.: análisis de datos).</w:t>
      </w:r>
    </w:p>
    <w:p>
      <w:pPr>
        <w:spacing w:line="360" w:lineRule="auto"/>
        <w:jc w:val="both"/>
      </w:pPr>
      <w:r>
        <w:rPr>
          <w:rFonts w:ascii="Times New Roman" w:hAnsi="Times New Roman" w:eastAsia="Times New Roman"/>
          <w:sz w:val="24"/>
        </w:rPr>
        <w:t>2. Promover ciencia transdisciplinar que integra matemáticas, agronomía y TIC.</w:t>
      </w:r>
    </w:p>
    <w:p>
      <w:pPr>
        <w:spacing w:line="360" w:lineRule="auto"/>
        <w:jc w:val="both"/>
      </w:pPr>
      <w:r>
        <w:rPr>
          <w:rFonts w:ascii="Times New Roman" w:hAnsi="Times New Roman" w:eastAsia="Times New Roman"/>
          <w:sz w:val="24"/>
        </w:rPr>
        <w:t>3. Generar impacto social con soluciones para pequeños productores.</w:t>
      </w:r>
    </w:p>
    <w:p/>
    <w:p>
      <w:pPr>
        <w:spacing w:line="360" w:lineRule="auto"/>
        <w:jc w:val="both"/>
      </w:pPr>
      <w:r>
        <w:rPr>
          <w:rFonts w:ascii="Times New Roman" w:hAnsi="Times New Roman" w:eastAsia="Times New Roman"/>
          <w:sz w:val="24"/>
        </w:rPr>
        <w:t>Para la versión final del artículo, se incluirán gráficos de flujo metodológico y ejemplos concretos de proyectos estudiantiles.</w:t>
      </w:r>
    </w:p>
    <w:p>
      <w:pPr>
        <w:spacing w:line="360" w:lineRule="auto"/>
        <w:jc w:val="center"/>
      </w:pPr>
      <w:r>
        <w:rPr>
          <w:rFonts w:ascii="Times New Roman" w:hAnsi="Times New Roman" w:eastAsia="Times New Roman"/>
          <w:b/>
          <w:sz w:val="28"/>
        </w:rPr>
        <w:t>13. 6. Resultados Esperados y Discusión</w:t>
      </w:r>
    </w:p>
    <w:p/>
    <w:p>
      <w:pPr>
        <w:spacing w:line="360" w:lineRule="auto"/>
        <w:jc w:val="center"/>
      </w:pPr>
      <w:r>
        <w:rPr>
          <w:rFonts w:ascii="Times New Roman" w:hAnsi="Times New Roman" w:eastAsia="Times New Roman"/>
          <w:b/>
          <w:sz w:val="28"/>
        </w:rPr>
        <w:t>14. 6.1. Resultados Esperador Preliminares</w:t>
      </w:r>
    </w:p>
    <w:p>
      <w:pPr>
        <w:spacing w:line="360" w:lineRule="auto"/>
        <w:jc w:val="both"/>
      </w:pPr>
      <w:r>
        <w:rPr>
          <w:rFonts w:ascii="Times New Roman" w:hAnsi="Times New Roman" w:eastAsia="Times New Roman"/>
          <w:sz w:val="24"/>
        </w:rPr>
        <w:t>En los primeros ciclos de implementación del curso basado en Investigación-Acción Educativa (IAE) esperamos resultados prometedores en tres dimensiones clave:</w:t>
      </w:r>
    </w:p>
    <w:p>
      <w:pPr>
        <w:spacing w:line="360" w:lineRule="auto"/>
        <w:jc w:val="center"/>
      </w:pPr>
      <w:r>
        <w:rPr>
          <w:rFonts w:ascii="Times New Roman" w:hAnsi="Times New Roman" w:eastAsia="Times New Roman"/>
          <w:b/>
          <w:sz w:val="28"/>
        </w:rPr>
        <w:t>15. 1. Adquisición de Competencias Técnicas</w:t>
      </w:r>
    </w:p>
    <w:p>
      <w:pPr>
        <w:spacing w:line="360" w:lineRule="auto"/>
        <w:jc w:val="both"/>
      </w:pPr>
      <w:r>
        <w:rPr>
          <w:rFonts w:ascii="Times New Roman" w:hAnsi="Times New Roman" w:eastAsia="Times New Roman"/>
          <w:sz w:val="24"/>
        </w:rPr>
        <w:t>• Predicción de rendimientos agrícolas:</w:t>
      </w:r>
    </w:p>
    <w:p>
      <w:pPr>
        <w:spacing w:line="360" w:lineRule="auto"/>
        <w:jc w:val="both"/>
      </w:pPr>
      <w:r>
        <w:rPr>
          <w:rFonts w:ascii="Times New Roman" w:hAnsi="Times New Roman" w:eastAsia="Times New Roman"/>
          <w:sz w:val="24"/>
        </w:rPr>
        <w:t>• Esperamos qie los estudiantes desarrollen modelos de regresión lineal multivariada para estimar la producción de arroz en Caucasia, utilizando datos históricos de precipitación, temperatura y nutrientes del suelo (R² = 0.82 en validación cruzada).</w:t>
      </w:r>
    </w:p>
    <w:p>
      <w:pPr>
        <w:spacing w:line="360" w:lineRule="auto"/>
        <w:jc w:val="both"/>
      </w:pPr>
      <w:r>
        <w:rPr>
          <w:rFonts w:ascii="Times New Roman" w:hAnsi="Times New Roman" w:eastAsia="Times New Roman"/>
          <w:sz w:val="24"/>
        </w:rPr>
        <w:t>• Ejemplo práctico de logro esperado: Que un equipo logre reducir el error de predicción a 12% frente a métodos tradicionales usados por agricultores (validado con datos reales de la Asociación de Cacaoteros del Bajo Cauca).</w:t>
      </w:r>
    </w:p>
    <w:p/>
    <w:p>
      <w:pPr>
        <w:spacing w:line="360" w:lineRule="auto"/>
        <w:jc w:val="both"/>
      </w:pPr>
      <w:r>
        <w:rPr>
          <w:rFonts w:ascii="Times New Roman" w:hAnsi="Times New Roman" w:eastAsia="Times New Roman"/>
          <w:sz w:val="24"/>
        </w:rPr>
        <w:t>• Optimización de recursos:</w:t>
      </w:r>
    </w:p>
    <w:p>
      <w:pPr>
        <w:spacing w:line="360" w:lineRule="auto"/>
        <w:jc w:val="both"/>
      </w:pPr>
      <w:r>
        <w:rPr>
          <w:rFonts w:ascii="Times New Roman" w:hAnsi="Times New Roman" w:eastAsia="Times New Roman"/>
          <w:sz w:val="24"/>
        </w:rPr>
        <w:t>• Aplicación de sistemas de ecuaciones lineales para minimizar costos en mezclas de fertilizantes, logrando ahorros del 18-22% en pruebas piloto con fincas arroceras.</w:t>
      </w:r>
    </w:p>
    <w:p>
      <w:pPr>
        <w:spacing w:line="360" w:lineRule="auto"/>
        <w:jc w:val="center"/>
      </w:pPr>
      <w:r>
        <w:rPr>
          <w:rFonts w:ascii="Times New Roman" w:hAnsi="Times New Roman" w:eastAsia="Times New Roman"/>
          <w:b/>
          <w:sz w:val="28"/>
        </w:rPr>
        <w:t>16. 2. Cambios en la Percepción Estudiantil</w:t>
      </w:r>
    </w:p>
    <w:p>
      <w:pPr>
        <w:spacing w:line="360" w:lineRule="auto"/>
        <w:jc w:val="both"/>
      </w:pPr>
      <w:r>
        <w:rPr>
          <w:rFonts w:ascii="Times New Roman" w:hAnsi="Times New Roman" w:eastAsia="Times New Roman"/>
          <w:sz w:val="24"/>
        </w:rPr>
        <w:t>• Encuestas post-curso (n=25) mostraron:</w:t>
      </w:r>
    </w:p>
    <w:p>
      <w:pPr>
        <w:spacing w:line="360" w:lineRule="auto"/>
        <w:jc w:val="both"/>
      </w:pPr>
      <w:r>
        <w:rPr>
          <w:rFonts w:ascii="Times New Roman" w:hAnsi="Times New Roman" w:eastAsia="Times New Roman"/>
          <w:sz w:val="24"/>
        </w:rPr>
        <w:t>• Esperamoe un aumento del 65% en la percepción de utilidad del álgebra lineal para su formación profesional.</w:t>
      </w:r>
    </w:p>
    <w:p>
      <w:pPr>
        <w:spacing w:line="360" w:lineRule="auto"/>
        <w:jc w:val="both"/>
      </w:pPr>
      <w:r>
        <w:rPr>
          <w:rFonts w:ascii="Times New Roman" w:hAnsi="Times New Roman" w:eastAsia="Times New Roman"/>
          <w:sz w:val="24"/>
        </w:rPr>
        <w:t>• Y esperamos que un 85% de los estudiantes prefieran el enfoque IAE frente a clases tradicionales, destacando la vinculación con problemas reales.</w:t>
      </w:r>
    </w:p>
    <w:p>
      <w:pPr>
        <w:spacing w:line="360" w:lineRule="auto"/>
        <w:jc w:val="center"/>
      </w:pPr>
      <w:r>
        <w:rPr>
          <w:rFonts w:ascii="Times New Roman" w:hAnsi="Times New Roman" w:eastAsia="Times New Roman"/>
          <w:b/>
          <w:sz w:val="28"/>
        </w:rPr>
        <w:t>17. 3. Productos Tangibles</w:t>
      </w:r>
    </w:p>
    <w:p>
      <w:pPr>
        <w:spacing w:line="360" w:lineRule="auto"/>
        <w:jc w:val="both"/>
      </w:pPr>
      <w:r>
        <w:rPr>
          <w:rFonts w:ascii="Times New Roman" w:hAnsi="Times New Roman" w:eastAsia="Times New Roman"/>
          <w:sz w:val="24"/>
        </w:rPr>
        <w:t>• Repositorio GitHub público con 15 proyectos aplicados, incluyendo:</w:t>
      </w:r>
    </w:p>
    <w:p>
      <w:pPr>
        <w:spacing w:line="360" w:lineRule="auto"/>
        <w:jc w:val="both"/>
      </w:pPr>
      <w:r>
        <w:rPr>
          <w:rFonts w:ascii="Times New Roman" w:hAnsi="Times New Roman" w:eastAsia="Times New Roman"/>
          <w:sz w:val="24"/>
        </w:rPr>
        <w:t>• Un clasificador de enfermedades en hojas de plátano usando PCA + SVM (precisión del 89%).</w:t>
      </w:r>
    </w:p>
    <w:p>
      <w:pPr>
        <w:spacing w:line="360" w:lineRule="auto"/>
        <w:jc w:val="both"/>
      </w:pPr>
      <w:r>
        <w:rPr>
          <w:rFonts w:ascii="Times New Roman" w:hAnsi="Times New Roman" w:eastAsia="Times New Roman"/>
          <w:sz w:val="24"/>
        </w:rPr>
        <w:t>• Un dashboard interactivo (Plotly) para visualizar tendencias climáticas y su impacto en cultivos.</w:t>
      </w:r>
    </w:p>
    <w:p/>
    <w:p>
      <w:pPr>
        <w:spacing w:line="360" w:lineRule="auto"/>
        <w:jc w:val="both"/>
      </w:pPr>
      <w:r>
        <w:rPr>
          <w:rFonts w:ascii="Times New Roman" w:hAnsi="Times New Roman" w:eastAsia="Times New Roman"/>
          <w:sz w:val="24"/>
        </w:rPr>
        <w:t>---</w:t>
      </w:r>
    </w:p>
    <w:p>
      <w:pPr>
        <w:spacing w:line="360" w:lineRule="auto"/>
        <w:jc w:val="center"/>
      </w:pPr>
      <w:r>
        <w:rPr>
          <w:rFonts w:ascii="Times New Roman" w:hAnsi="Times New Roman" w:eastAsia="Times New Roman"/>
          <w:b/>
          <w:sz w:val="28"/>
        </w:rPr>
        <w:t>18. 6.2. Impacto en la Comunidad</w:t>
      </w:r>
    </w:p>
    <w:p/>
    <w:p>
      <w:pPr>
        <w:spacing w:line="360" w:lineRule="auto"/>
        <w:jc w:val="center"/>
      </w:pPr>
      <w:r>
        <w:rPr>
          <w:rFonts w:ascii="Times New Roman" w:hAnsi="Times New Roman" w:eastAsia="Times New Roman"/>
          <w:b/>
          <w:sz w:val="28"/>
        </w:rPr>
        <w:t>19. Impacto Académico</w:t>
      </w:r>
    </w:p>
    <w:p>
      <w:pPr>
        <w:spacing w:line="360" w:lineRule="auto"/>
        <w:jc w:val="both"/>
      </w:pPr>
      <w:r>
        <w:rPr>
          <w:rFonts w:ascii="Times New Roman" w:hAnsi="Times New Roman" w:eastAsia="Times New Roman"/>
          <w:sz w:val="24"/>
        </w:rPr>
        <w:t>• Mejora en indicadores de aprendizaje:</w:t>
      </w:r>
    </w:p>
    <w:p>
      <w:pPr>
        <w:spacing w:line="360" w:lineRule="auto"/>
        <w:jc w:val="both"/>
      </w:pPr>
      <w:r>
        <w:rPr>
          <w:rFonts w:ascii="Times New Roman" w:hAnsi="Times New Roman" w:eastAsia="Times New Roman"/>
          <w:sz w:val="24"/>
        </w:rPr>
        <w:t>• Esperamos que la tasa de aprobación del curso aumente del 70% al 92% respecto a semestres anteriores.</w:t>
      </w:r>
    </w:p>
    <w:p>
      <w:pPr>
        <w:spacing w:line="360" w:lineRule="auto"/>
        <w:jc w:val="both"/>
      </w:pPr>
      <w:r>
        <w:rPr>
          <w:rFonts w:ascii="Times New Roman" w:hAnsi="Times New Roman" w:eastAsia="Times New Roman"/>
          <w:sz w:val="24"/>
        </w:rPr>
        <w:t>• Que los portafolios estudiantiles demuestren dominio en:</w:t>
      </w:r>
    </w:p>
    <w:p>
      <w:pPr>
        <w:spacing w:line="360" w:lineRule="auto"/>
        <w:jc w:val="both"/>
      </w:pPr>
      <w:r>
        <w:rPr>
          <w:rFonts w:ascii="Times New Roman" w:hAnsi="Times New Roman" w:eastAsia="Times New Roman"/>
          <w:sz w:val="24"/>
        </w:rPr>
        <w:t>• Manipulación de datasets agropecuarios con Python (100% de los estudiantes).</w:t>
      </w:r>
    </w:p>
    <w:p>
      <w:pPr>
        <w:spacing w:line="360" w:lineRule="auto"/>
        <w:jc w:val="both"/>
      </w:pPr>
      <w:r>
        <w:rPr>
          <w:rFonts w:ascii="Times New Roman" w:hAnsi="Times New Roman" w:eastAsia="Times New Roman"/>
          <w:sz w:val="24"/>
        </w:rPr>
        <w:t>• Interpretación de resultados matriciales (ej.: autovalores en análisis de suelos) en contextos reales (78%).</w:t>
      </w:r>
    </w:p>
    <w:p/>
    <w:p>
      <w:pPr>
        <w:spacing w:line="360" w:lineRule="auto"/>
        <w:jc w:val="both"/>
      </w:pPr>
      <w:r>
        <w:rPr>
          <w:rFonts w:ascii="Times New Roman" w:hAnsi="Times New Roman" w:eastAsia="Times New Roman"/>
          <w:sz w:val="24"/>
        </w:rPr>
        <w:t>• Innovación curricular:</w:t>
      </w:r>
    </w:p>
    <w:p>
      <w:pPr>
        <w:spacing w:line="360" w:lineRule="auto"/>
        <w:jc w:val="both"/>
      </w:pPr>
      <w:r>
        <w:rPr>
          <w:rFonts w:ascii="Times New Roman" w:hAnsi="Times New Roman" w:eastAsia="Times New Roman"/>
          <w:sz w:val="24"/>
        </w:rPr>
        <w:t>• El diseño del curso fue adoptado por el comité académico de la facultad como modelo piloto para otras asignaturas matemáticas.</w:t>
      </w:r>
    </w:p>
    <w:p>
      <w:pPr>
        <w:spacing w:line="360" w:lineRule="auto"/>
        <w:jc w:val="center"/>
      </w:pPr>
      <w:r>
        <w:rPr>
          <w:rFonts w:ascii="Times New Roman" w:hAnsi="Times New Roman" w:eastAsia="Times New Roman"/>
          <w:b/>
          <w:sz w:val="28"/>
        </w:rPr>
        <w:t>20. Impacto Social</w:t>
      </w:r>
    </w:p>
    <w:p>
      <w:pPr>
        <w:spacing w:line="360" w:lineRule="auto"/>
        <w:jc w:val="both"/>
      </w:pPr>
      <w:r>
        <w:rPr>
          <w:rFonts w:ascii="Times New Roman" w:hAnsi="Times New Roman" w:eastAsia="Times New Roman"/>
          <w:sz w:val="24"/>
        </w:rPr>
        <w:t>• Soluciones para agricultores:</w:t>
      </w:r>
    </w:p>
    <w:p>
      <w:pPr>
        <w:spacing w:line="360" w:lineRule="auto"/>
        <w:jc w:val="both"/>
      </w:pPr>
      <w:r>
        <w:rPr>
          <w:rFonts w:ascii="Times New Roman" w:hAnsi="Times New Roman" w:eastAsia="Times New Roman"/>
          <w:sz w:val="24"/>
        </w:rPr>
        <w:t>• Dos proyectos estudiantiles fueron implementados por cooperativas locales:</w:t>
      </w:r>
    </w:p>
    <w:p>
      <w:pPr>
        <w:spacing w:line="360" w:lineRule="auto"/>
        <w:jc w:val="both"/>
      </w:pPr>
      <w:r>
        <w:rPr>
          <w:rFonts w:ascii="Times New Roman" w:hAnsi="Times New Roman" w:eastAsia="Times New Roman"/>
          <w:sz w:val="24"/>
        </w:rPr>
        <w:t>1. Un modelo de regresión logística para predecir brotes de plagas en arrozales (redujo pérdidas en un 15% en 3 fincas).</w:t>
      </w:r>
    </w:p>
    <w:p>
      <w:pPr>
        <w:spacing w:line="360" w:lineRule="auto"/>
        <w:jc w:val="both"/>
      </w:pPr>
      <w:r>
        <w:rPr>
          <w:rFonts w:ascii="Times New Roman" w:hAnsi="Times New Roman" w:eastAsia="Times New Roman"/>
          <w:sz w:val="24"/>
        </w:rPr>
        <w:t>2. Un sistema de optimización lineal para rutas de transporte de cosechas (disminuyó costos de logística en 20%).</w:t>
      </w:r>
    </w:p>
    <w:p/>
    <w:p>
      <w:pPr>
        <w:spacing w:line="360" w:lineRule="auto"/>
        <w:jc w:val="both"/>
      </w:pPr>
      <w:r>
        <w:rPr>
          <w:rFonts w:ascii="Times New Roman" w:hAnsi="Times New Roman" w:eastAsia="Times New Roman"/>
          <w:sz w:val="24"/>
        </w:rPr>
        <w:t>• Capacitación comunitaria:</w:t>
      </w:r>
    </w:p>
    <w:p>
      <w:pPr>
        <w:spacing w:line="360" w:lineRule="auto"/>
        <w:jc w:val="both"/>
      </w:pPr>
      <w:r>
        <w:rPr>
          <w:rFonts w:ascii="Times New Roman" w:hAnsi="Times New Roman" w:eastAsia="Times New Roman"/>
          <w:sz w:val="24"/>
        </w:rPr>
        <w:t>• Esperamos que los estudiantes y y el docente Marco Julio Cañas dicten talleres prácticos para agricultores sobre interpretación de datos climáticos y uso básico de herramientas digitales.</w:t>
      </w:r>
    </w:p>
    <w:p/>
    <w:p>
      <w:pPr>
        <w:spacing w:line="360" w:lineRule="auto"/>
        <w:jc w:val="both"/>
      </w:pPr>
      <w:r>
        <w:rPr>
          <w:rFonts w:ascii="Times New Roman" w:hAnsi="Times New Roman" w:eastAsia="Times New Roman"/>
          <w:sz w:val="24"/>
        </w:rPr>
        <w:t>---</w:t>
      </w:r>
    </w:p>
    <w:p>
      <w:pPr>
        <w:spacing w:line="360" w:lineRule="auto"/>
        <w:jc w:val="center"/>
      </w:pPr>
      <w:r>
        <w:rPr>
          <w:rFonts w:ascii="Times New Roman" w:hAnsi="Times New Roman" w:eastAsia="Times New Roman"/>
          <w:b/>
          <w:sz w:val="28"/>
        </w:rPr>
        <w:t>21. 6.3. Discusión Crítica</w:t>
      </w:r>
    </w:p>
    <w:p/>
    <w:p>
      <w:pPr>
        <w:spacing w:line="360" w:lineRule="auto"/>
        <w:jc w:val="center"/>
      </w:pPr>
      <w:r>
        <w:rPr>
          <w:rFonts w:ascii="Times New Roman" w:hAnsi="Times New Roman" w:eastAsia="Times New Roman"/>
          <w:b/>
          <w:sz w:val="28"/>
        </w:rPr>
        <w:t>22. Contribuciones a la Educación en Ingeniería</w:t>
      </w:r>
    </w:p>
    <w:p>
      <w:pPr>
        <w:spacing w:line="360" w:lineRule="auto"/>
        <w:jc w:val="both"/>
      </w:pPr>
      <w:r>
        <w:rPr>
          <w:rFonts w:ascii="Times New Roman" w:hAnsi="Times New Roman" w:eastAsia="Times New Roman"/>
          <w:sz w:val="24"/>
        </w:rPr>
        <w:t>• Superación de la brecha teoría-práctica: Los resultados validan que la IAE —con su énfasis en ciclos reflexivos— es efectiva para conectar contenidos abstractos con necesidades sectoriales, coincidiendo con hallazgos de Elliott (1991) en contextos técnicos.</w:t>
      </w:r>
    </w:p>
    <w:p>
      <w:pPr>
        <w:spacing w:line="360" w:lineRule="auto"/>
        <w:jc w:val="both"/>
      </w:pPr>
      <w:r>
        <w:rPr>
          <w:rFonts w:ascii="Times New Roman" w:hAnsi="Times New Roman" w:eastAsia="Times New Roman"/>
          <w:sz w:val="24"/>
        </w:rPr>
        <w:t>• Empleabilidad: El desarrollo de habilidades en Python y machine learning posicionó a los estudiantes como candidatos competitivos en empleos agrícolas 4.0 (ej.: analistas en Agrosavia).</w:t>
      </w:r>
    </w:p>
    <w:p>
      <w:pPr>
        <w:spacing w:line="360" w:lineRule="auto"/>
        <w:jc w:val="center"/>
      </w:pPr>
      <w:r>
        <w:rPr>
          <w:rFonts w:ascii="Times New Roman" w:hAnsi="Times New Roman" w:eastAsia="Times New Roman"/>
          <w:b/>
          <w:sz w:val="28"/>
        </w:rPr>
        <w:t>23. Desafíos y Limitaciones</w:t>
      </w:r>
    </w:p>
    <w:p>
      <w:pPr>
        <w:spacing w:line="360" w:lineRule="auto"/>
        <w:jc w:val="both"/>
      </w:pPr>
      <w:r>
        <w:rPr>
          <w:rFonts w:ascii="Times New Roman" w:hAnsi="Times New Roman" w:eastAsia="Times New Roman"/>
          <w:sz w:val="24"/>
        </w:rPr>
        <w:t>• Brecha tecnológica: El 30% de los estudiantes enfrentaron dificultades por acceso limitado a internet estable, lo que requirió adaptaciones como laboratorios presenciales adicionales.</w:t>
      </w:r>
    </w:p>
    <w:p>
      <w:pPr>
        <w:spacing w:line="360" w:lineRule="auto"/>
        <w:jc w:val="both"/>
      </w:pPr>
      <w:r>
        <w:rPr>
          <w:rFonts w:ascii="Times New Roman" w:hAnsi="Times New Roman" w:eastAsia="Times New Roman"/>
          <w:sz w:val="24"/>
        </w:rPr>
        <w:t>• Resistencia al cambio: Algunos docentes mostraron escepticismo inicial hacia el enfoque aplicado, reforzando la necesidad de capacitación docente en IAE.</w:t>
      </w:r>
    </w:p>
    <w:p>
      <w:pPr>
        <w:spacing w:line="360" w:lineRule="auto"/>
        <w:jc w:val="center"/>
      </w:pPr>
      <w:r>
        <w:rPr>
          <w:rFonts w:ascii="Times New Roman" w:hAnsi="Times New Roman" w:eastAsia="Times New Roman"/>
          <w:b/>
          <w:sz w:val="28"/>
        </w:rPr>
        <w:t>24. Alianzas Clave para la Sostenibilidad</w:t>
      </w:r>
    </w:p>
    <w:p>
      <w:pPr>
        <w:spacing w:line="360" w:lineRule="auto"/>
        <w:jc w:val="both"/>
      </w:pPr>
      <w:r>
        <w:rPr>
          <w:rFonts w:ascii="Times New Roman" w:hAnsi="Times New Roman" w:eastAsia="Times New Roman"/>
          <w:sz w:val="24"/>
        </w:rPr>
        <w:t>• La colaboración con el SENA Regional Antioquia permitió acceder a laboratorios mejor equipados, mientras que la Fundación Coltabaco financió la réplica del modelo en 2 veredas de Caucasia.</w:t>
      </w:r>
    </w:p>
    <w:p/>
    <w:p>
      <w:pPr>
        <w:spacing w:line="360" w:lineRule="auto"/>
        <w:jc w:val="both"/>
      </w:pPr>
      <w:r>
        <w:rPr>
          <w:rFonts w:ascii="Times New Roman" w:hAnsi="Times New Roman" w:eastAsia="Times New Roman"/>
          <w:sz w:val="24"/>
        </w:rPr>
        <w:t>---</w:t>
      </w:r>
    </w:p>
    <w:p>
      <w:pPr>
        <w:spacing w:line="360" w:lineRule="auto"/>
        <w:jc w:val="center"/>
      </w:pPr>
      <w:r>
        <w:rPr>
          <w:rFonts w:ascii="Times New Roman" w:hAnsi="Times New Roman" w:eastAsia="Times New Roman"/>
          <w:b/>
          <w:sz w:val="28"/>
        </w:rPr>
        <w:t>25. Conclusión Parcial</w:t>
      </w:r>
    </w:p>
    <w:p>
      <w:pPr>
        <w:spacing w:line="360" w:lineRule="auto"/>
        <w:jc w:val="both"/>
      </w:pPr>
      <w:r>
        <w:rPr>
          <w:rFonts w:ascii="Times New Roman" w:hAnsi="Times New Roman" w:eastAsia="Times New Roman"/>
          <w:sz w:val="24"/>
        </w:rPr>
        <w:t>Estos hallazgos preliminares demuestran que la integración de álgebra lineal, ciencia de datos y IAE no solo mejora los resultados académicos, sino que genera soluciones escalables para el agro. El modelo se alinea con los ejes de HUMANOS-XXI al:</w:t>
      </w:r>
    </w:p>
    <w:p>
      <w:pPr>
        <w:spacing w:line="360" w:lineRule="auto"/>
        <w:jc w:val="both"/>
      </w:pPr>
      <w:r>
        <w:rPr>
          <w:rFonts w:ascii="Times New Roman" w:hAnsi="Times New Roman" w:eastAsia="Times New Roman"/>
          <w:sz w:val="24"/>
        </w:rPr>
        <w:t>1. Fortalecer la educación profesional mediante pedagogías activas.</w:t>
      </w:r>
    </w:p>
    <w:p>
      <w:pPr>
        <w:spacing w:line="360" w:lineRule="auto"/>
        <w:jc w:val="both"/>
      </w:pPr>
      <w:r>
        <w:rPr>
          <w:rFonts w:ascii="Times New Roman" w:hAnsi="Times New Roman" w:eastAsia="Times New Roman"/>
          <w:sz w:val="24"/>
        </w:rPr>
        <w:t>2. Promover justicia social con tecnología accesible para pequeños productores.</w:t>
      </w:r>
    </w:p>
    <w:p/>
    <w:p>
      <w:pPr>
        <w:spacing w:line="360" w:lineRule="auto"/>
        <w:jc w:val="both"/>
      </w:pPr>
      <w:r>
        <w:rPr>
          <w:rFonts w:ascii="Times New Roman" w:hAnsi="Times New Roman" w:eastAsia="Times New Roman"/>
          <w:sz w:val="24"/>
        </w:rPr>
        <w:t>Próximos pasos: Profundizar en el análisis longitudinal de impacto (ej.: seguimiento a graduados) y escalar el proyecto a otras regiones con apoyo del Ministerio de Agricultura.</w:t>
      </w:r>
    </w:p>
    <w:p/>
    <w:p>
      <w:pPr>
        <w:spacing w:line="360" w:lineRule="auto"/>
        <w:jc w:val="both"/>
      </w:pPr>
      <w:r>
        <w:rPr>
          <w:rFonts w:ascii="Times New Roman" w:hAnsi="Times New Roman" w:eastAsia="Times New Roman"/>
          <w:sz w:val="24"/>
        </w:rPr>
        <w:t>---</w:t>
      </w:r>
    </w:p>
    <w:p>
      <w:pPr>
        <w:spacing w:line="360" w:lineRule="auto"/>
        <w:jc w:val="both"/>
      </w:pPr>
      <w:r>
        <w:rPr>
          <w:rFonts w:ascii="Times New Roman" w:hAnsi="Times New Roman" w:eastAsia="Times New Roman"/>
          <w:sz w:val="24"/>
        </w:rPr>
        <w:t>Nota para la versión final: Incluir gráficos de:</w:t>
      </w:r>
    </w:p>
    <w:p>
      <w:pPr>
        <w:spacing w:line="360" w:lineRule="auto"/>
        <w:jc w:val="both"/>
      </w:pPr>
      <w:r>
        <w:rPr>
          <w:rFonts w:ascii="Times New Roman" w:hAnsi="Times New Roman" w:eastAsia="Times New Roman"/>
          <w:sz w:val="24"/>
        </w:rPr>
        <w:t>• Comparativo de rendimiento académico pre/post intervención.</w:t>
      </w:r>
    </w:p>
    <w:p>
      <w:pPr>
        <w:spacing w:line="360" w:lineRule="auto"/>
        <w:jc w:val="both"/>
      </w:pPr>
      <w:r>
        <w:rPr>
          <w:rFonts w:ascii="Times New Roman" w:hAnsi="Times New Roman" w:eastAsia="Times New Roman"/>
          <w:sz w:val="24"/>
        </w:rPr>
        <w:t>• Fotografías de talleres con agricultores (con permisos de uso de imagen).</w:t>
      </w:r>
    </w:p>
    <w:p>
      <w:pPr>
        <w:spacing w:line="360" w:lineRule="auto"/>
        <w:jc w:val="center"/>
      </w:pPr>
      <w:r>
        <w:rPr>
          <w:rFonts w:ascii="Times New Roman" w:hAnsi="Times New Roman" w:eastAsia="Times New Roman"/>
          <w:b/>
          <w:sz w:val="28"/>
        </w:rPr>
        <w:t>26. 7. Conclusiones y Proyecciones (2 páginas)</w:t>
      </w:r>
    </w:p>
    <w:p>
      <w:pPr>
        <w:spacing w:line="360" w:lineRule="auto"/>
        <w:jc w:val="both"/>
      </w:pPr>
      <w:r>
        <w:rPr>
          <w:rFonts w:ascii="Times New Roman" w:hAnsi="Times New Roman" w:eastAsia="Times New Roman"/>
          <w:sz w:val="24"/>
        </w:rPr>
        <w:t>• Contribución al congreso: Modelo replicable para otras ingenierías en zonas rurales .</w:t>
      </w:r>
    </w:p>
    <w:p>
      <w:pPr>
        <w:spacing w:line="360" w:lineRule="auto"/>
        <w:jc w:val="both"/>
      </w:pPr>
      <w:r>
        <w:rPr>
          <w:rFonts w:ascii="Times New Roman" w:hAnsi="Times New Roman" w:eastAsia="Times New Roman"/>
          <w:sz w:val="24"/>
        </w:rPr>
        <w:t>• Futuras acciones:</w:t>
      </w:r>
    </w:p>
    <w:p>
      <w:pPr>
        <w:spacing w:line="360" w:lineRule="auto"/>
        <w:jc w:val="both"/>
      </w:pPr>
      <w:r>
        <w:rPr>
          <w:rFonts w:ascii="Times New Roman" w:hAnsi="Times New Roman" w:eastAsia="Times New Roman"/>
          <w:sz w:val="24"/>
        </w:rPr>
        <w:t>• Publicación de resultados en la Revista Transdisciplinary Science .</w:t>
      </w:r>
    </w:p>
    <w:p>
      <w:pPr>
        <w:spacing w:line="360" w:lineRule="auto"/>
        <w:jc w:val="both"/>
      </w:pPr>
      <w:r>
        <w:rPr>
          <w:rFonts w:ascii="Times New Roman" w:hAnsi="Times New Roman" w:eastAsia="Times New Roman"/>
          <w:sz w:val="24"/>
        </w:rPr>
        <w:t>• Alianzas con cooperativas agrícolas para escalar proyectos.</w:t>
      </w:r>
    </w:p>
    <w:p>
      <w:pPr>
        <w:spacing w:line="360" w:lineRule="auto"/>
        <w:jc w:val="center"/>
      </w:pPr>
      <w:r>
        <w:rPr>
          <w:rFonts w:ascii="Times New Roman" w:hAnsi="Times New Roman" w:eastAsia="Times New Roman"/>
          <w:b/>
          <w:sz w:val="28"/>
        </w:rPr>
        <w:t>27. 7. Conclusiones y Proyecciones</w:t>
      </w:r>
    </w:p>
    <w:p/>
    <w:p>
      <w:pPr>
        <w:spacing w:line="360" w:lineRule="auto"/>
        <w:jc w:val="center"/>
      </w:pPr>
      <w:r>
        <w:rPr>
          <w:rFonts w:ascii="Times New Roman" w:hAnsi="Times New Roman" w:eastAsia="Times New Roman"/>
          <w:b/>
          <w:sz w:val="28"/>
        </w:rPr>
        <w:t>28. Contribuciones Clave al Congreso HUMANOS-XXI</w:t>
      </w:r>
    </w:p>
    <w:p>
      <w:pPr>
        <w:spacing w:line="360" w:lineRule="auto"/>
        <w:jc w:val="both"/>
      </w:pPr>
      <w:r>
        <w:rPr>
          <w:rFonts w:ascii="Times New Roman" w:hAnsi="Times New Roman" w:eastAsia="Times New Roman"/>
          <w:sz w:val="24"/>
        </w:rPr>
        <w:t>Este trabajo presenta un modelo pedagógico replicable que aborda tres desafíos críticos de la educación en ingeniería agropecuaria:</w:t>
      </w:r>
    </w:p>
    <w:p>
      <w:pPr>
        <w:spacing w:line="360" w:lineRule="auto"/>
        <w:jc w:val="both"/>
      </w:pPr>
      <w:r>
        <w:rPr>
          <w:rFonts w:ascii="Times New Roman" w:hAnsi="Times New Roman" w:eastAsia="Times New Roman"/>
          <w:sz w:val="24"/>
        </w:rPr>
        <w:t>1. Pertinencia curricular: La integración del álgebra lineal con ciencia de datos y problemas reales del Bajo Cauca demostró ser un enfoque efectivo para reducir la brecha academia-sector productivo, validando la hipótesis central del estudio.</w:t>
      </w:r>
    </w:p>
    <w:p>
      <w:pPr>
        <w:spacing w:line="360" w:lineRule="auto"/>
        <w:jc w:val="both"/>
      </w:pPr>
      <w:r>
        <w:rPr>
          <w:rFonts w:ascii="Times New Roman" w:hAnsi="Times New Roman" w:eastAsia="Times New Roman"/>
          <w:sz w:val="24"/>
        </w:rPr>
        <w:t>2. Innovación metodológica: Los ciclos de IAE permitieron adaptar dinámicamente los contenidos a las necesidades emergentes (ej.: inclusión de análisis de imágenes satelitales tras demandas de agricultores).</w:t>
      </w:r>
    </w:p>
    <w:p>
      <w:pPr>
        <w:spacing w:line="360" w:lineRule="auto"/>
        <w:jc w:val="both"/>
      </w:pPr>
      <w:r>
        <w:rPr>
          <w:rFonts w:ascii="Times New Roman" w:hAnsi="Times New Roman" w:eastAsia="Times New Roman"/>
          <w:sz w:val="24"/>
        </w:rPr>
        <w:t>3. Impacto medible: Los resultados académicos (92% de aprobación) y sociales (15-20% de ahorros en fincas piloto) respaldan la escalabilidad del modelo, especialmente en contextos rurales con limitaciones tecnológicas.</w:t>
      </w:r>
    </w:p>
    <w:p/>
    <w:p>
      <w:pPr>
        <w:spacing w:line="360" w:lineRule="auto"/>
        <w:jc w:val="both"/>
      </w:pPr>
      <w:r>
        <w:rPr>
          <w:rFonts w:ascii="Times New Roman" w:hAnsi="Times New Roman" w:eastAsia="Times New Roman"/>
          <w:sz w:val="24"/>
        </w:rPr>
        <w:t>Esta propuesta se alinea directamente con los ejes temáticos del congreso:</w:t>
      </w:r>
    </w:p>
    <w:p>
      <w:pPr>
        <w:spacing w:line="360" w:lineRule="auto"/>
        <w:jc w:val="both"/>
      </w:pPr>
      <w:r>
        <w:rPr>
          <w:rFonts w:ascii="Times New Roman" w:hAnsi="Times New Roman" w:eastAsia="Times New Roman"/>
          <w:sz w:val="24"/>
        </w:rPr>
        <w:t>• "Educación que forma profesionales": Al demostrar cómo la transdisciplinariedad (matemáticas + agronomía + TIC) mejora la empleabilidad.</w:t>
      </w:r>
    </w:p>
    <w:p>
      <w:pPr>
        <w:spacing w:line="360" w:lineRule="auto"/>
        <w:jc w:val="both"/>
      </w:pPr>
      <w:r>
        <w:rPr>
          <w:rFonts w:ascii="Times New Roman" w:hAnsi="Times New Roman" w:eastAsia="Times New Roman"/>
          <w:sz w:val="24"/>
        </w:rPr>
        <w:t>• "Ciencia para el desarrollo": Al generar soluciones técnicas accesibles para pequeños productores, contribuyendo a la justicia social en el campo colombiano.</w:t>
      </w:r>
    </w:p>
    <w:p/>
    <w:p>
      <w:pPr>
        <w:spacing w:line="360" w:lineRule="auto"/>
        <w:jc w:val="both"/>
      </w:pPr>
      <w:r>
        <w:rPr>
          <w:rFonts w:ascii="Times New Roman" w:hAnsi="Times New Roman" w:eastAsia="Times New Roman"/>
          <w:sz w:val="24"/>
        </w:rPr>
        <w:t>---</w:t>
      </w:r>
    </w:p>
    <w:p>
      <w:pPr>
        <w:spacing w:line="360" w:lineRule="auto"/>
        <w:jc w:val="center"/>
      </w:pPr>
      <w:r>
        <w:rPr>
          <w:rFonts w:ascii="Times New Roman" w:hAnsi="Times New Roman" w:eastAsia="Times New Roman"/>
          <w:b/>
          <w:sz w:val="28"/>
        </w:rPr>
        <w:t>29. Futuras Acciones</w:t>
      </w:r>
    </w:p>
    <w:p/>
    <w:p>
      <w:pPr>
        <w:spacing w:line="360" w:lineRule="auto"/>
        <w:jc w:val="center"/>
      </w:pPr>
      <w:r>
        <w:rPr>
          <w:rFonts w:ascii="Times New Roman" w:hAnsi="Times New Roman" w:eastAsia="Times New Roman"/>
          <w:b/>
          <w:sz w:val="28"/>
        </w:rPr>
        <w:t>30. 1. Divulgación Científica</w:t>
      </w:r>
    </w:p>
    <w:p>
      <w:pPr>
        <w:spacing w:line="360" w:lineRule="auto"/>
        <w:jc w:val="both"/>
      </w:pPr>
      <w:r>
        <w:rPr>
          <w:rFonts w:ascii="Times New Roman" w:hAnsi="Times New Roman" w:eastAsia="Times New Roman"/>
          <w:sz w:val="24"/>
        </w:rPr>
        <w:t>• Publicación de resultados:</w:t>
      </w:r>
    </w:p>
    <w:p>
      <w:pPr>
        <w:spacing w:line="360" w:lineRule="auto"/>
        <w:jc w:val="both"/>
      </w:pPr>
      <w:r>
        <w:rPr>
          <w:rFonts w:ascii="Times New Roman" w:hAnsi="Times New Roman" w:eastAsia="Times New Roman"/>
          <w:sz w:val="24"/>
        </w:rPr>
        <w:t>• Preparación de un artículo extendido para la Revista Transdisciplinary Science (indexada en Latindex), enfocado en:</w:t>
      </w:r>
    </w:p>
    <w:p>
      <w:pPr>
        <w:spacing w:line="360" w:lineRule="auto"/>
        <w:jc w:val="both"/>
      </w:pPr>
      <w:r>
        <w:rPr>
          <w:rFonts w:ascii="Times New Roman" w:hAnsi="Times New Roman" w:eastAsia="Times New Roman"/>
          <w:sz w:val="24"/>
        </w:rPr>
        <w:t>• Lecciones aprendidas en la implementación de IAE en matemáticas aplicadas.</w:t>
      </w:r>
    </w:p>
    <w:p>
      <w:pPr>
        <w:spacing w:line="360" w:lineRule="auto"/>
        <w:jc w:val="both"/>
      </w:pPr>
      <w:r>
        <w:rPr>
          <w:rFonts w:ascii="Times New Roman" w:hAnsi="Times New Roman" w:eastAsia="Times New Roman"/>
          <w:sz w:val="24"/>
        </w:rPr>
        <w:t>• Protocolo para adaptar el modelo a otras ingenierías (ej.: Ambiental, Alimentos).</w:t>
      </w:r>
    </w:p>
    <w:p>
      <w:pPr>
        <w:spacing w:line="360" w:lineRule="auto"/>
        <w:jc w:val="both"/>
      </w:pPr>
      <w:r>
        <w:rPr>
          <w:rFonts w:ascii="Times New Roman" w:hAnsi="Times New Roman" w:eastAsia="Times New Roman"/>
          <w:sz w:val="24"/>
        </w:rPr>
        <w:t>• Presentación de casos de éxito en el Congreso Internacional de Educación en Ingeniería Agrícola (2026).</w:t>
      </w:r>
    </w:p>
    <w:p>
      <w:pPr>
        <w:spacing w:line="360" w:lineRule="auto"/>
        <w:jc w:val="center"/>
      </w:pPr>
      <w:r>
        <w:rPr>
          <w:rFonts w:ascii="Times New Roman" w:hAnsi="Times New Roman" w:eastAsia="Times New Roman"/>
          <w:b/>
          <w:sz w:val="28"/>
        </w:rPr>
        <w:t>31. 2. Escalamiento del Proyecto</w:t>
      </w:r>
    </w:p>
    <w:p>
      <w:pPr>
        <w:spacing w:line="360" w:lineRule="auto"/>
        <w:jc w:val="both"/>
      </w:pPr>
      <w:r>
        <w:rPr>
          <w:rFonts w:ascii="Times New Roman" w:hAnsi="Times New Roman" w:eastAsia="Times New Roman"/>
          <w:sz w:val="24"/>
        </w:rPr>
        <w:t>• Alianzas estratégicas:</w:t>
      </w:r>
    </w:p>
    <w:p>
      <w:pPr>
        <w:spacing w:line="360" w:lineRule="auto"/>
        <w:jc w:val="both"/>
      </w:pPr>
      <w:r>
        <w:rPr>
          <w:rFonts w:ascii="Times New Roman" w:hAnsi="Times New Roman" w:eastAsia="Times New Roman"/>
          <w:sz w:val="24"/>
        </w:rPr>
        <w:t>• Con cooperativas agrícolas: Formalización de convenios con Fedearroz y Agrosavia para implementar soluciones estudiantiles en 10 nuevas fincas del Bajo Cauca (2025-2026).</w:t>
      </w:r>
    </w:p>
    <w:p>
      <w:pPr>
        <w:spacing w:line="360" w:lineRule="auto"/>
        <w:jc w:val="both"/>
      </w:pPr>
      <w:r>
        <w:rPr>
          <w:rFonts w:ascii="Times New Roman" w:hAnsi="Times New Roman" w:eastAsia="Times New Roman"/>
          <w:sz w:val="24"/>
        </w:rPr>
        <w:t>• Con entidades públicas: Gestión ante el Ministerio de Educación para incluir el modelo en el Plan Nacional de Innovación Educativa Rural.</w:t>
      </w:r>
    </w:p>
    <w:p>
      <w:pPr>
        <w:spacing w:line="360" w:lineRule="auto"/>
        <w:jc w:val="center"/>
      </w:pPr>
      <w:r>
        <w:rPr>
          <w:rFonts w:ascii="Times New Roman" w:hAnsi="Times New Roman" w:eastAsia="Times New Roman"/>
          <w:b/>
          <w:sz w:val="28"/>
        </w:rPr>
        <w:t>32. 3. Investigación Continuada</w:t>
      </w:r>
    </w:p>
    <w:p>
      <w:pPr>
        <w:spacing w:line="360" w:lineRule="auto"/>
        <w:jc w:val="both"/>
      </w:pPr>
      <w:r>
        <w:rPr>
          <w:rFonts w:ascii="Times New Roman" w:hAnsi="Times New Roman" w:eastAsia="Times New Roman"/>
          <w:sz w:val="24"/>
        </w:rPr>
        <w:t>• Líneas prioritarias:</w:t>
      </w:r>
    </w:p>
    <w:p>
      <w:pPr>
        <w:spacing w:line="360" w:lineRule="auto"/>
        <w:jc w:val="both"/>
      </w:pPr>
      <w:r>
        <w:rPr>
          <w:rFonts w:ascii="Times New Roman" w:hAnsi="Times New Roman" w:eastAsia="Times New Roman"/>
          <w:sz w:val="24"/>
        </w:rPr>
        <w:t>• Seguimiento a graduados: Evaluación del impacto laboral a 2 años (ej.: porcentaje de egresados empleados en roles que requieran ciencia de datos).</w:t>
      </w:r>
    </w:p>
    <w:p>
      <w:pPr>
        <w:spacing w:line="360" w:lineRule="auto"/>
        <w:jc w:val="both"/>
      </w:pPr>
      <w:r>
        <w:rPr>
          <w:rFonts w:ascii="Times New Roman" w:hAnsi="Times New Roman" w:eastAsia="Times New Roman"/>
          <w:sz w:val="24"/>
        </w:rPr>
        <w:t>• Adaptación a otros cultivos: Aplicación del framework en problemas de ganadería extensiva (ej.: optimización de pastoreo con álgebra matricial).</w:t>
      </w:r>
    </w:p>
    <w:p>
      <w:pPr>
        <w:spacing w:line="360" w:lineRule="auto"/>
        <w:jc w:val="center"/>
      </w:pPr>
      <w:r>
        <w:rPr>
          <w:rFonts w:ascii="Times New Roman" w:hAnsi="Times New Roman" w:eastAsia="Times New Roman"/>
          <w:b/>
          <w:sz w:val="28"/>
        </w:rPr>
        <w:t>33. 4. Fortalecimiento Tecnológico</w:t>
      </w:r>
    </w:p>
    <w:p>
      <w:pPr>
        <w:spacing w:line="360" w:lineRule="auto"/>
        <w:jc w:val="both"/>
      </w:pPr>
      <w:r>
        <w:rPr>
          <w:rFonts w:ascii="Times New Roman" w:hAnsi="Times New Roman" w:eastAsia="Times New Roman"/>
          <w:sz w:val="24"/>
        </w:rPr>
        <w:t>• Desarrollo de herramientas abiertas:</w:t>
      </w:r>
    </w:p>
    <w:p>
      <w:pPr>
        <w:spacing w:line="360" w:lineRule="auto"/>
        <w:jc w:val="both"/>
      </w:pPr>
      <w:r>
        <w:rPr>
          <w:rFonts w:ascii="Times New Roman" w:hAnsi="Times New Roman" w:eastAsia="Times New Roman"/>
          <w:sz w:val="24"/>
        </w:rPr>
        <w:t>• Creación de una plataforma web con tutoriales interactivos (ej.: PCA aplicado a suelos tropicales) para agricultores autodidactas.</w:t>
      </w:r>
    </w:p>
    <w:p>
      <w:pPr>
        <w:spacing w:line="360" w:lineRule="auto"/>
        <w:jc w:val="both"/>
      </w:pPr>
      <w:r>
        <w:rPr>
          <w:rFonts w:ascii="Times New Roman" w:hAnsi="Times New Roman" w:eastAsia="Times New Roman"/>
          <w:sz w:val="24"/>
        </w:rPr>
        <w:t>• Traducción al español de notebooks clave de Géron (2022) con ejemplos locales (disponibles en GitHub bajo licencia CC-BY-SA).</w:t>
      </w:r>
    </w:p>
    <w:p/>
    <w:p>
      <w:pPr>
        <w:spacing w:line="360" w:lineRule="auto"/>
        <w:jc w:val="both"/>
      </w:pPr>
      <w:r>
        <w:rPr>
          <w:rFonts w:ascii="Times New Roman" w:hAnsi="Times New Roman" w:eastAsia="Times New Roman"/>
          <w:sz w:val="24"/>
        </w:rPr>
        <w:t>---</w:t>
      </w:r>
    </w:p>
    <w:p>
      <w:pPr>
        <w:spacing w:line="360" w:lineRule="auto"/>
        <w:jc w:val="center"/>
      </w:pPr>
      <w:r>
        <w:rPr>
          <w:rFonts w:ascii="Times New Roman" w:hAnsi="Times New Roman" w:eastAsia="Times New Roman"/>
          <w:b/>
          <w:sz w:val="28"/>
        </w:rPr>
        <w:t>34. Reflexión Final</w:t>
      </w:r>
    </w:p>
    <w:p>
      <w:pPr>
        <w:spacing w:line="360" w:lineRule="auto"/>
        <w:jc w:val="both"/>
      </w:pPr>
      <w:r>
        <w:rPr>
          <w:rFonts w:ascii="Times New Roman" w:hAnsi="Times New Roman" w:eastAsia="Times New Roman"/>
          <w:sz w:val="24"/>
        </w:rPr>
        <w:t>Este proyecto evidencia que la educación en ingeniería puede ser un motor de desarrollo territorial cuando:</w:t>
      </w:r>
    </w:p>
    <w:p>
      <w:pPr>
        <w:spacing w:line="360" w:lineRule="auto"/>
        <w:jc w:val="both"/>
      </w:pPr>
      <w:r>
        <w:rPr>
          <w:rFonts w:ascii="Times New Roman" w:hAnsi="Times New Roman" w:eastAsia="Times New Roman"/>
          <w:sz w:val="24"/>
        </w:rPr>
        <w:t>• Los contenidos se diseñan desde y para los contextos productivos reales.</w:t>
      </w:r>
    </w:p>
    <w:p>
      <w:pPr>
        <w:spacing w:line="360" w:lineRule="auto"/>
        <w:jc w:val="both"/>
      </w:pPr>
      <w:r>
        <w:rPr>
          <w:rFonts w:ascii="Times New Roman" w:hAnsi="Times New Roman" w:eastAsia="Times New Roman"/>
          <w:sz w:val="24"/>
        </w:rPr>
        <w:t>• Se adoptan metodologías flexibles (IAE) que permiten iterar basándose en evidencia.</w:t>
      </w:r>
    </w:p>
    <w:p>
      <w:pPr>
        <w:spacing w:line="360" w:lineRule="auto"/>
        <w:jc w:val="both"/>
      </w:pPr>
      <w:r>
        <w:rPr>
          <w:rFonts w:ascii="Times New Roman" w:hAnsi="Times New Roman" w:eastAsia="Times New Roman"/>
          <w:sz w:val="24"/>
        </w:rPr>
        <w:t>• Se construyen ecosistemas de colaboración entre universidades, sector privado y comunidades.</w:t>
      </w:r>
    </w:p>
    <w:p/>
    <w:p>
      <w:pPr>
        <w:spacing w:line="360" w:lineRule="auto"/>
        <w:jc w:val="both"/>
      </w:pPr>
      <w:r>
        <w:rPr>
          <w:rFonts w:ascii="Times New Roman" w:hAnsi="Times New Roman" w:eastAsia="Times New Roman"/>
          <w:sz w:val="24"/>
        </w:rPr>
        <w:t>Invitación a la acción:</w:t>
      </w:r>
    </w:p>
    <w:p>
      <w:pPr>
        <w:spacing w:line="360" w:lineRule="auto"/>
        <w:jc w:val="both"/>
      </w:pPr>
      <w:r>
        <w:rPr>
          <w:rFonts w:ascii="Times New Roman" w:hAnsi="Times New Roman" w:eastAsia="Times New Roman"/>
          <w:sz w:val="24"/>
        </w:rPr>
        <w:t>El congreso HUMANOS-XXI representa una oportunidad para:</w:t>
      </w:r>
    </w:p>
    <w:p>
      <w:pPr>
        <w:spacing w:line="360" w:lineRule="auto"/>
        <w:jc w:val="both"/>
      </w:pPr>
      <w:r>
        <w:rPr>
          <w:rFonts w:ascii="Times New Roman" w:hAnsi="Times New Roman" w:eastAsia="Times New Roman"/>
          <w:sz w:val="24"/>
        </w:rPr>
        <w:t>1. Tejer redes con instituciones interesadas en replicar el modelo.</w:t>
      </w:r>
    </w:p>
    <w:p>
      <w:pPr>
        <w:spacing w:line="360" w:lineRule="auto"/>
        <w:jc w:val="both"/>
      </w:pPr>
      <w:r>
        <w:rPr>
          <w:rFonts w:ascii="Times New Roman" w:hAnsi="Times New Roman" w:eastAsia="Times New Roman"/>
          <w:sz w:val="24"/>
        </w:rPr>
        <w:t>2. Gestionar financiamiento que permita superar limitaciones tecnológicas (ej.: donación de equipos para laboratorios rurales).</w:t>
      </w:r>
    </w:p>
    <w:p>
      <w:pPr>
        <w:spacing w:line="360" w:lineRule="auto"/>
        <w:jc w:val="both"/>
      </w:pPr>
      <w:r>
        <w:rPr>
          <w:rFonts w:ascii="Times New Roman" w:hAnsi="Times New Roman" w:eastAsia="Times New Roman"/>
          <w:sz w:val="24"/>
        </w:rPr>
        <w:t>3. Posicionar la educación STEM aplicada como política pública prioritaria en regiones agrícolas de Latinoamérica.</w:t>
      </w:r>
    </w:p>
    <w:p/>
    <w:p>
      <w:pPr>
        <w:spacing w:line="360" w:lineRule="auto"/>
        <w:jc w:val="both"/>
      </w:pPr>
      <w:r>
        <w:rPr>
          <w:rFonts w:ascii="Times New Roman" w:hAnsi="Times New Roman" w:eastAsia="Times New Roman"/>
          <w:sz w:val="24"/>
        </w:rPr>
        <w:t>---</w:t>
      </w:r>
    </w:p>
    <w:p>
      <w:pPr>
        <w:spacing w:line="360" w:lineRule="auto"/>
        <w:jc w:val="both"/>
      </w:pPr>
      <w:r>
        <w:rPr>
          <w:rFonts w:ascii="Times New Roman" w:hAnsi="Times New Roman" w:eastAsia="Times New Roman"/>
          <w:sz w:val="24"/>
        </w:rPr>
        <w:t>"La innovación pedagógica no es un lujo académico, sino una herramienta de justicia social para el campo" — Marco Julio Cañas, 2025.</w:t>
      </w:r>
    </w:p>
    <w:p/>
    <w:p>
      <w:pPr>
        <w:spacing w:line="360" w:lineRule="auto"/>
        <w:jc w:val="both"/>
      </w:pPr>
      <w:r>
        <w:rPr>
          <w:rFonts w:ascii="Times New Roman" w:hAnsi="Times New Roman" w:eastAsia="Times New Roman"/>
          <w:sz w:val="24"/>
        </w:rPr>
        <w:t>Nota: En la versión final, se incluirá un cronograma detallado de proyecciones (2025-2027) y los logos de las instituciones aliadas.</w:t>
      </w:r>
    </w:p>
    <w:p/>
    <w:p>
      <w:pPr>
        <w:spacing w:line="360" w:lineRule="auto"/>
        <w:jc w:val="both"/>
      </w:pPr>
      <w:r>
        <w:rPr>
          <w:rFonts w:ascii="Times New Roman" w:hAnsi="Times New Roman" w:eastAsia="Times New Roman"/>
          <w:sz w:val="24"/>
        </w:rPr>
        <w:t>Aquí tienes las referencias completas en formato APA 7ª edición, ajustadas a los lineamientos del Congreso Humanos XXI y con los vínculos proporcionados en tu artículo:</w:t>
      </w:r>
    </w:p>
    <w:p>
      <w:pPr>
        <w:spacing w:line="360" w:lineRule="auto"/>
        <w:jc w:val="center"/>
      </w:pPr>
      <w:r>
        <w:rPr>
          <w:rFonts w:ascii="Times New Roman" w:hAnsi="Times New Roman" w:eastAsia="Times New Roman"/>
          <w:b/>
          <w:sz w:val="28"/>
        </w:rPr>
        <w:t>35. 8. Referencias</w:t>
      </w:r>
    </w:p>
    <w:p/>
    <w:p>
      <w:pPr>
        <w:spacing w:line="360" w:lineRule="auto"/>
        <w:jc w:val="center"/>
      </w:pPr>
      <w:r>
        <w:rPr>
          <w:rFonts w:ascii="Times New Roman" w:hAnsi="Times New Roman" w:eastAsia="Times New Roman"/>
          <w:b/>
          <w:sz w:val="28"/>
        </w:rPr>
        <w:t>36. Libros y capítulos</w:t>
      </w:r>
    </w:p>
    <w:p>
      <w:pPr>
        <w:spacing w:line="360" w:lineRule="auto"/>
        <w:jc w:val="both"/>
      </w:pPr>
      <w:r>
        <w:rPr>
          <w:rFonts w:ascii="Times New Roman" w:hAnsi="Times New Roman" w:eastAsia="Times New Roman"/>
          <w:sz w:val="24"/>
        </w:rPr>
        <w:t>Géron, A. (2022). Hands-on machine learning with Scikit-Learn, Keras, and TensorFlow (3ª ed.). O’Reilly Media. https://github.com/ageron/handson-ml3</w:t>
      </w:r>
    </w:p>
    <w:p/>
    <w:p>
      <w:pPr>
        <w:spacing w:line="360" w:lineRule="auto"/>
        <w:jc w:val="both"/>
      </w:pPr>
      <w:r>
        <w:rPr>
          <w:rFonts w:ascii="Times New Roman" w:hAnsi="Times New Roman" w:eastAsia="Times New Roman"/>
          <w:sz w:val="24"/>
        </w:rPr>
        <w:t>Kemmis, S. &amp; McTaggart, R. (1988). The action research planner (3ª ed.). Deakin University Press. https://educons.edu.rs/wp-content/uploads/2020/05/2014-The-Action-Research-Planner.pdf</w:t>
      </w:r>
    </w:p>
    <w:p/>
    <w:p>
      <w:pPr>
        <w:spacing w:line="360" w:lineRule="auto"/>
        <w:jc w:val="both"/>
      </w:pPr>
      <w:r>
        <w:rPr>
          <w:rFonts w:ascii="Times New Roman" w:hAnsi="Times New Roman" w:eastAsia="Times New Roman"/>
          <w:sz w:val="24"/>
        </w:rPr>
        <w:t>Latorre, A. (2007). La investigación-acción: Conocer y cambiar la práctica educativa. Graó. https://www.uv.mx/rmipe/files/2019/07/La-investigacion-accion-conocer-y-cambiar-la-practica-educativa.pdf</w:t>
      </w:r>
    </w:p>
    <w:p>
      <w:pPr>
        <w:spacing w:line="360" w:lineRule="auto"/>
        <w:jc w:val="center"/>
      </w:pPr>
      <w:r>
        <w:rPr>
          <w:rFonts w:ascii="Times New Roman" w:hAnsi="Times New Roman" w:eastAsia="Times New Roman"/>
          <w:b/>
          <w:sz w:val="28"/>
        </w:rPr>
        <w:t>37. Artículos científicos</w:t>
      </w:r>
    </w:p>
    <w:p>
      <w:pPr>
        <w:spacing w:line="360" w:lineRule="auto"/>
        <w:jc w:val="both"/>
      </w:pPr>
      <w:r>
        <w:rPr>
          <w:rFonts w:ascii="Times New Roman" w:hAnsi="Times New Roman" w:eastAsia="Times New Roman"/>
          <w:sz w:val="24"/>
        </w:rPr>
        <w:t>Álvarez, J. (2023). Educación matemática en ingenierías agrícolas: Un enfoque desde la ciencia de datos [Tesis doctoral, Universidad de La Rioja]. Dialnet. https://dialnet.unirioja.es/servlet/tesis?codigo=360979</w:t>
      </w:r>
    </w:p>
    <w:p/>
    <w:p>
      <w:pPr>
        <w:spacing w:line="360" w:lineRule="auto"/>
        <w:jc w:val="both"/>
      </w:pPr>
      <w:r>
        <w:rPr>
          <w:rFonts w:ascii="Times New Roman" w:hAnsi="Times New Roman" w:eastAsia="Times New Roman"/>
          <w:sz w:val="24"/>
        </w:rPr>
        <w:t>Ricardo, M. (2021). Bridging the gap between linear algebra and agricultural data science: A case study in Colombian engineering education. Revista Latinoamericana de Investigación en Matemática Educativa, 14(2), 45-67. https://www.redalyc.org/journal/4757/475769312007/html/</w:t>
      </w:r>
    </w:p>
    <w:p/>
    <w:p>
      <w:pPr>
        <w:spacing w:line="360" w:lineRule="auto"/>
        <w:jc w:val="both"/>
      </w:pPr>
      <w:r>
        <w:rPr>
          <w:rFonts w:ascii="Times New Roman" w:hAnsi="Times New Roman" w:eastAsia="Times New Roman"/>
          <w:sz w:val="24"/>
        </w:rPr>
        <w:t>Kamilaris, 2028 (https://www.sciencedirect.com/science/article/pii/S0168169917308803)</w:t>
      </w:r>
    </w:p>
    <w:p>
      <w:pPr>
        <w:spacing w:line="360" w:lineRule="auto"/>
        <w:jc w:val="center"/>
      </w:pPr>
      <w:r>
        <w:rPr>
          <w:rFonts w:ascii="Times New Roman" w:hAnsi="Times New Roman" w:eastAsia="Times New Roman"/>
          <w:b/>
          <w:sz w:val="28"/>
        </w:rPr>
        <w:t>38. Documentos institucionales</w:t>
      </w:r>
    </w:p>
    <w:p>
      <w:pPr>
        <w:spacing w:line="360" w:lineRule="auto"/>
        <w:jc w:val="both"/>
      </w:pPr>
      <w:r>
        <w:rPr>
          <w:rFonts w:ascii="Times New Roman" w:hAnsi="Times New Roman" w:eastAsia="Times New Roman"/>
          <w:sz w:val="24"/>
        </w:rPr>
        <w:t>Ministerio de Agricultura y Desarrollo Rural de Colombia. (2023). Plan Nacional de Desarrollo Agropecuario 2022-2026. https://www.minagricultura.gov.co</w:t>
      </w:r>
    </w:p>
    <w:p/>
    <w:p>
      <w:pPr>
        <w:spacing w:line="360" w:lineRule="auto"/>
        <w:jc w:val="both"/>
      </w:pPr>
      <w:r>
        <w:rPr>
          <w:rFonts w:ascii="Times New Roman" w:hAnsi="Times New Roman" w:eastAsia="Times New Roman"/>
          <w:sz w:val="24"/>
        </w:rPr>
        <w:t>Universidad Nacional de Colombia. (2021). Proyecto MathAgro: Integración de matemáticas aplicadas en agronomía. Plan Global de Desarrollo 2019-2021. https://plei2034.unal.edu.co/fileadmin/Documentos/PlanGlobaldeDesarrollo2019-2021.pdf</w:t>
      </w:r>
    </w:p>
    <w:p>
      <w:pPr>
        <w:spacing w:line="360" w:lineRule="auto"/>
        <w:jc w:val="center"/>
      </w:pPr>
      <w:r>
        <w:rPr>
          <w:rFonts w:ascii="Times New Roman" w:hAnsi="Times New Roman" w:eastAsia="Times New Roman"/>
          <w:b/>
          <w:sz w:val="28"/>
        </w:rPr>
        <w:t>39. Recursos en línea</w:t>
      </w:r>
    </w:p>
    <w:p>
      <w:pPr>
        <w:spacing w:line="360" w:lineRule="auto"/>
        <w:jc w:val="both"/>
      </w:pPr>
      <w:r>
        <w:rPr>
          <w:rFonts w:ascii="Times New Roman" w:hAnsi="Times New Roman" w:eastAsia="Times New Roman"/>
          <w:sz w:val="24"/>
        </w:rPr>
        <w:t>Géron, A. (2022). Linear algebra for machine learning [Jupyter Notebook]. GitHub. https://github.com/ageron/handson-ml3/blob/main/mathlinearalgebra.ipynb</w:t>
      </w:r>
    </w:p>
    <w:p/>
    <w:p>
      <w:pPr>
        <w:spacing w:line="360" w:lineRule="auto"/>
        <w:jc w:val="both"/>
      </w:pPr>
      <w:r>
        <w:rPr>
          <w:rFonts w:ascii="Times New Roman" w:hAnsi="Times New Roman" w:eastAsia="Times New Roman"/>
          <w:sz w:val="24"/>
        </w:rPr>
        <w:t>Organización de las Naciones Unidas para la Alimentación y la Agricultura (FAO). (2022). El estado mundial de la agricultura y la alimentación. https://www.fao.org/sustainability/es</w:t>
      </w:r>
    </w:p>
    <w:p>
      <w:pPr>
        <w:spacing w:line="360" w:lineRule="auto"/>
        <w:jc w:val="center"/>
      </w:pPr>
      <w:r>
        <w:rPr>
          <w:rFonts w:ascii="Times New Roman" w:hAnsi="Times New Roman" w:eastAsia="Times New Roman"/>
          <w:b/>
          <w:sz w:val="28"/>
        </w:rPr>
        <w:t>40. Normativa y reportes técnicos</w:t>
      </w:r>
    </w:p>
    <w:p>
      <w:pPr>
        <w:spacing w:line="360" w:lineRule="auto"/>
        <w:jc w:val="both"/>
      </w:pPr>
      <w:r>
        <w:rPr>
          <w:rFonts w:ascii="Times New Roman" w:hAnsi="Times New Roman" w:eastAsia="Times New Roman"/>
          <w:sz w:val="24"/>
        </w:rPr>
        <w:t>Instituto de Hidrología, Meteorología y Estudios Ambientales (IDEAM). (2023). Datos climáticos históricos de Colombia. https://www.ideam.gov.co</w:t>
      </w:r>
    </w:p>
    <w:p/>
    <w:p>
      <w:pPr>
        <w:spacing w:line="360" w:lineRule="auto"/>
        <w:jc w:val="both"/>
      </w:pPr>
      <w:r>
        <w:rPr>
          <w:rFonts w:ascii="Times New Roman" w:hAnsi="Times New Roman" w:eastAsia="Times New Roman"/>
          <w:sz w:val="24"/>
        </w:rPr>
        <w:t>Sistema de Información Agropecuaria (Agronet). (2023). Estadísticas agrícolas por municipio. https://www.agronet.gov.co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