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Gestión de Datos (PGD)</w:t>
      </w:r>
    </w:p>
    <w:p>
      <w:pPr>
        <w:pStyle w:val="Heading1"/>
      </w:pPr>
      <w:r>
        <w:t>Proyecto:</w:t>
      </w:r>
    </w:p>
    <w:p>
      <w:r>
        <w:t>Aplicación de Análisis Predictivo para la Gestión de Riesgos Climáticos en Cultivos de Arroz del Bajo Cauca</w:t>
      </w:r>
    </w:p>
    <w:p>
      <w:pPr>
        <w:pStyle w:val="Heading2"/>
      </w:pPr>
      <w:r>
        <w:t>1. Resumen del proyecto en relación con la gestión de datos</w:t>
      </w:r>
    </w:p>
    <w:p>
      <w:r>
        <w:t>El proyecto busca desarrollar una aplicación predictiva basada en técnicas de machine learning y deep learning para anticipar riesgos climáticos en cultivos de arroz del Bajo Cauca...</w:t>
      </w:r>
    </w:p>
    <w:p>
      <w:pPr>
        <w:pStyle w:val="Heading2"/>
      </w:pPr>
      <w:r>
        <w:t>2. Tipos de datos que se generarán o recopilarán</w:t>
      </w:r>
    </w:p>
    <w:p>
      <w:r>
        <w:t>Datos climáticos, edáficos, agrícolas, cualitativos y modelos serán recolectados de fuentes como IDEAM, IGAC y FEDEARROZ, además de encuestas locales...</w:t>
      </w:r>
    </w:p>
    <w:p>
      <w:pPr>
        <w:pStyle w:val="Heading2"/>
      </w:pPr>
      <w:r>
        <w:t>3. Procedencia y legalidad de los datos</w:t>
      </w:r>
    </w:p>
    <w:p>
      <w:r>
        <w:t>Todos los datos usados serán de origen legítimo conforme a la Ley 1712 (transparencia) y Ley 1581 (protección de datos personales)...</w:t>
      </w:r>
    </w:p>
    <w:p>
      <w:pPr>
        <w:pStyle w:val="Heading2"/>
      </w:pPr>
      <w:r>
        <w:t>4. Estrategias de almacenamiento, seguridad y respaldo</w:t>
      </w:r>
    </w:p>
    <w:p>
      <w:r>
        <w:t>Datos almacenados en Google Drive institucional y GitHub. Respaldos semanales, acceso restringido, cifrado básico y versionamiento en Git...</w:t>
      </w:r>
    </w:p>
    <w:p>
      <w:pPr>
        <w:pStyle w:val="Heading2"/>
      </w:pPr>
      <w:r>
        <w:t>5. Estrategias de documentación y metadatos</w:t>
      </w:r>
    </w:p>
    <w:p>
      <w:r>
        <w:t>Uso de archivos README y esquemas como Dublin Core. Todo el código será documentado con docstrings y comentarios en Notebooks...</w:t>
      </w:r>
    </w:p>
    <w:p>
      <w:pPr>
        <w:pStyle w:val="Heading2"/>
      </w:pPr>
      <w:r>
        <w:t>6. Política de uso y acceso a los datos</w:t>
      </w:r>
    </w:p>
    <w:p>
      <w:r>
        <w:t>Datos públicos bajo licencia Creative Commons BY-NC-SA 4.0. Anonimización de información sensible. Ciencia abierta y transparencia garantizadas...</w:t>
      </w:r>
    </w:p>
    <w:p>
      <w:pPr>
        <w:pStyle w:val="Heading2"/>
      </w:pPr>
      <w:r>
        <w:t>7. Preservación a largo plazo y reutilización de los datos</w:t>
      </w:r>
    </w:p>
    <w:p>
      <w:r>
        <w:t>Datos estructurados serán depositados en Zenodo, Figshare o el Repositorio Institucional con DOI. Código y guías en GitHub...</w:t>
      </w:r>
    </w:p>
    <w:p>
      <w:pPr>
        <w:pStyle w:val="Heading2"/>
      </w:pPr>
      <w:r>
        <w:t>8. Responsabilidades en la gestión de datos</w:t>
      </w:r>
    </w:p>
    <w:p>
      <w:r>
        <w:t>Investigador principal y equipo asignado serán responsables de la calidad, seguridad, recolección y documentación de los datos...</w:t>
      </w:r>
    </w:p>
    <w:p>
      <w:pPr>
        <w:pStyle w:val="Heading2"/>
      </w:pPr>
      <w:r>
        <w:t>9. Recursos requeridos para la gestión de datos</w:t>
      </w:r>
    </w:p>
    <w:p>
      <w:r>
        <w:t>Software libre (Python, QGIS), almacenamiento en la nube, GitHub, sensores de campo y asesoría en ética de datos...</w:t>
      </w:r>
    </w:p>
    <w:p>
      <w:pPr>
        <w:pStyle w:val="Heading2"/>
      </w:pPr>
      <w:r>
        <w:t>10. Indicadores de evaluación del PGD</w:t>
      </w:r>
    </w:p>
    <w:p>
      <w:r>
        <w:t>Documentación de ≥ 90% de los datos, 3 conjuntos abiertos, respaldo mensual, 10 usuarios capacitados en ECAs...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