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2060"/>
        </w:rPr>
        <w:t>PRESUPUESTO AJUSTADO (≤ $100 MILLONES COP)</w:t>
      </w:r>
    </w:p>
    <w:p>
      <w:pPr>
        <w:pStyle w:val="Heading2"/>
        <w:jc w:val="center"/>
      </w:pPr>
      <w:r>
        <w:t>Proyecto: Aplicación de Análisis Predictivo para Gestión de Riesgos Climáticos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b/>
              </w:rPr>
              <w:t>Rubro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b/>
              </w:rPr>
              <w:t>Detalle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b/>
              </w:rPr>
              <w:t>Valor (COP)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b/>
              </w:rPr>
              <w:t>Ajustes Realizados</w:t>
            </w:r>
          </w:p>
        </w:tc>
      </w:tr>
      <w:tr>
        <w:tc>
          <w:tcPr>
            <w:tcW w:type="dxa" w:w="2160"/>
          </w:tcPr>
          <w:p>
            <w:r>
              <w:t>1. Equipos</w:t>
            </w:r>
          </w:p>
        </w:tc>
        <w:tc>
          <w:tcPr>
            <w:tcW w:type="dxa" w:w="2160"/>
          </w:tcPr>
          <w:p>
            <w:r>
              <w:t>2 Estaciones meteorológicas básicas + sensores de humedad del suelo + 2 tablets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$24,000,000</w:t>
            </w:r>
          </w:p>
        </w:tc>
        <w:tc>
          <w:tcPr>
            <w:tcW w:type="dxa" w:w="2160"/>
          </w:tcPr>
          <w:p>
            <w:r>
              <w:t>Reducción a 2 estaciones y sensores críticos</w:t>
            </w:r>
          </w:p>
        </w:tc>
      </w:tr>
      <w:tr>
        <w:tc>
          <w:tcPr>
            <w:tcW w:type="dxa" w:w="2160"/>
          </w:tcPr>
          <w:p>
            <w:r>
              <w:t>2. Trabajo de campo</w:t>
            </w:r>
          </w:p>
        </w:tc>
        <w:tc>
          <w:tcPr>
            <w:tcW w:type="dxa" w:w="2160"/>
          </w:tcPr>
          <w:p>
            <w:r>
              <w:t>Logística (18 meses) + 2 técnicos medio tiempo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$24,000,000</w:t>
            </w:r>
          </w:p>
        </w:tc>
        <w:tc>
          <w:tcPr>
            <w:tcW w:type="dxa" w:w="2160"/>
          </w:tcPr>
          <w:p>
            <w:r>
              <w:t>Personal local y transporte optimizado</w:t>
            </w:r>
          </w:p>
        </w:tc>
      </w:tr>
      <w:tr>
        <w:tc>
          <w:tcPr>
            <w:tcW w:type="dxa" w:w="2160"/>
          </w:tcPr>
          <w:p>
            <w:r>
              <w:t>3. Desarrollo de software</w:t>
            </w:r>
          </w:p>
        </w:tc>
        <w:tc>
          <w:tcPr>
            <w:tcW w:type="dxa" w:w="2160"/>
          </w:tcPr>
          <w:p>
            <w:r>
              <w:t>Ingeniero (12 meses) + Desarrollador (6 meses) + Cloud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$36,000,000</w:t>
            </w:r>
          </w:p>
        </w:tc>
        <w:tc>
          <w:tcPr>
            <w:tcW w:type="dxa" w:w="2160"/>
          </w:tcPr>
          <w:p>
            <w:r>
              <w:t>Enfoque en MVP con herramientas open-source</w:t>
            </w:r>
          </w:p>
        </w:tc>
      </w:tr>
      <w:tr>
        <w:tc>
          <w:tcPr>
            <w:tcW w:type="dxa" w:w="2160"/>
          </w:tcPr>
          <w:p>
            <w:r>
              <w:t>4. Gestión del conocimiento</w:t>
            </w:r>
          </w:p>
        </w:tc>
        <w:tc>
          <w:tcPr>
            <w:tcW w:type="dxa" w:w="2160"/>
          </w:tcPr>
          <w:p>
            <w:r>
              <w:t>1 artículo Q4 + 3 talleres + Plataforma web + Video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$12,000,000</w:t>
            </w:r>
          </w:p>
        </w:tc>
        <w:tc>
          <w:tcPr>
            <w:tcW w:type="dxa" w:w="2160"/>
          </w:tcPr>
          <w:p>
            <w:r>
              <w:t>Publicación priorizada y materiales básicos</w:t>
            </w:r>
          </w:p>
        </w:tc>
      </w:tr>
      <w:tr>
        <w:tc>
          <w:tcPr>
            <w:tcW w:type="dxa" w:w="2160"/>
          </w:tcPr>
          <w:p>
            <w:r>
              <w:t>5. Imprevistos (10%)</w:t>
            </w:r>
          </w:p>
        </w:tc>
        <w:tc>
          <w:tcPr>
            <w:tcW w:type="dxa" w:w="2160"/>
          </w:tcPr>
          <w:p>
            <w:r>
              <w:t>Fondo para contingencias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$4,000,000</w:t>
            </w:r>
          </w:p>
        </w:tc>
        <w:tc>
          <w:tcPr>
            <w:tcW w:type="dxa" w:w="2160"/>
          </w:tcPr>
          <w:p>
            <w:r>
              <w:t>Reducción controlada</w:t>
            </w:r>
          </w:p>
        </w:tc>
      </w:tr>
      <w:tr>
        <w:tc>
          <w:tcPr>
            <w:tcW w:type="dxa" w:w="2160"/>
            <w:shd w:fill="F8CBAD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fill="F8CBAD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F8CBAD"/>
          </w:tcPr>
          <w:p>
            <w:pPr>
              <w:jc w:val="right"/>
            </w:pPr>
            <w:r>
              <w:rPr>
                <w:b/>
              </w:rPr>
              <w:t>$100,000,000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Notas:</w:t>
      </w:r>
    </w:p>
    <w:p>
      <w:pPr>
        <w:pStyle w:val="ListBullet"/>
      </w:pPr>
      <w:r>
        <w:t>1. Costos basados en cotizaciones locales de 2024</w:t>
      </w:r>
    </w:p>
    <w:p>
      <w:pPr>
        <w:pStyle w:val="ListBullet"/>
      </w:pPr>
      <w:r>
        <w:t>2. Incluye alianzas estratégicas con UdeA para reducir costos</w:t>
      </w:r>
    </w:p>
    <w:p>
      <w:pPr>
        <w:pStyle w:val="ListBullet"/>
      </w:pPr>
      <w:r>
        <w:t>3. MVP: Minimum Viable Product (Producto Mínimo Viable)</w:t>
      </w:r>
    </w:p>
    <w:p>
      <w:pPr>
        <w:pStyle w:val="ListBullet"/>
      </w:pPr>
      <w:r>
        <w:t>4. Precios en pesos colombianos (COP)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